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9A9E" w14:textId="0B046E2A" w:rsidR="00A26C6A" w:rsidRPr="000A7271" w:rsidRDefault="00447C05" w:rsidP="001F4192">
      <w:pPr>
        <w:jc w:val="center"/>
        <w:rPr>
          <w:b/>
          <w:bCs/>
          <w:sz w:val="24"/>
          <w:szCs w:val="24"/>
        </w:rPr>
      </w:pPr>
      <w:r w:rsidRPr="000A7271">
        <w:rPr>
          <w:b/>
          <w:bCs/>
          <w:sz w:val="24"/>
          <w:szCs w:val="24"/>
        </w:rPr>
        <w:t>The Drug Enforcement A</w:t>
      </w:r>
      <w:r w:rsidR="009255DA" w:rsidRPr="000A7271">
        <w:rPr>
          <w:b/>
          <w:bCs/>
          <w:sz w:val="24"/>
          <w:szCs w:val="24"/>
        </w:rPr>
        <w:t>dministration</w:t>
      </w:r>
      <w:r w:rsidRPr="000A7271">
        <w:rPr>
          <w:b/>
          <w:bCs/>
          <w:sz w:val="24"/>
          <w:szCs w:val="24"/>
        </w:rPr>
        <w:t xml:space="preserve">’s Proposed “Two-Option” Format for Suspicious Order Reporting is the Wrong Option for </w:t>
      </w:r>
      <w:r w:rsidR="00693BF7" w:rsidRPr="000A7271">
        <w:rPr>
          <w:b/>
          <w:bCs/>
          <w:sz w:val="24"/>
          <w:szCs w:val="24"/>
        </w:rPr>
        <w:t>Curbing</w:t>
      </w:r>
      <w:r w:rsidRPr="000A7271">
        <w:rPr>
          <w:b/>
          <w:bCs/>
          <w:sz w:val="24"/>
          <w:szCs w:val="24"/>
        </w:rPr>
        <w:t xml:space="preserve"> </w:t>
      </w:r>
      <w:r w:rsidR="00693BF7" w:rsidRPr="000A7271">
        <w:rPr>
          <w:b/>
          <w:bCs/>
          <w:sz w:val="24"/>
          <w:szCs w:val="24"/>
        </w:rPr>
        <w:t>Opioid Diversion</w:t>
      </w:r>
    </w:p>
    <w:p w14:paraId="609797CA" w14:textId="1E261A2B" w:rsidR="001F4192" w:rsidRPr="000A7271" w:rsidRDefault="001F4192" w:rsidP="001F4192">
      <w:pPr>
        <w:jc w:val="center"/>
        <w:rPr>
          <w:sz w:val="24"/>
          <w:szCs w:val="24"/>
        </w:rPr>
      </w:pPr>
      <w:r w:rsidRPr="000A7271">
        <w:rPr>
          <w:sz w:val="24"/>
          <w:szCs w:val="24"/>
        </w:rPr>
        <w:t>By Anthony J. Mahajan*</w:t>
      </w:r>
    </w:p>
    <w:p w14:paraId="0563C606" w14:textId="1851A9B8" w:rsidR="00F90970" w:rsidRPr="000A7271" w:rsidRDefault="00845C9B">
      <w:pPr>
        <w:rPr>
          <w:sz w:val="24"/>
          <w:szCs w:val="24"/>
        </w:rPr>
      </w:pPr>
      <w:r w:rsidRPr="000A7271">
        <w:rPr>
          <w:sz w:val="24"/>
          <w:szCs w:val="24"/>
        </w:rPr>
        <w:t>On November 2, 2020, the Drug Enforcement A</w:t>
      </w:r>
      <w:r w:rsidR="009255DA" w:rsidRPr="000A7271">
        <w:rPr>
          <w:sz w:val="24"/>
          <w:szCs w:val="24"/>
        </w:rPr>
        <w:t>dministration</w:t>
      </w:r>
      <w:r w:rsidRPr="000A7271">
        <w:rPr>
          <w:sz w:val="24"/>
          <w:szCs w:val="24"/>
        </w:rPr>
        <w:t xml:space="preserve"> (DEA) </w:t>
      </w:r>
      <w:r w:rsidR="00470C77" w:rsidRPr="000A7271">
        <w:rPr>
          <w:sz w:val="24"/>
          <w:szCs w:val="24"/>
        </w:rPr>
        <w:t>published notice of a new Proposed Rule, “Suspicious Orders of Controlled Substances,”</w:t>
      </w:r>
      <w:r w:rsidR="007F5F4E" w:rsidRPr="000A7271">
        <w:rPr>
          <w:sz w:val="24"/>
          <w:szCs w:val="24"/>
        </w:rPr>
        <w:t xml:space="preserve"> </w:t>
      </w:r>
      <w:r w:rsidR="00470C77" w:rsidRPr="000A7271">
        <w:rPr>
          <w:sz w:val="24"/>
          <w:szCs w:val="24"/>
        </w:rPr>
        <w:t xml:space="preserve">to </w:t>
      </w:r>
      <w:r w:rsidR="007F5F4E" w:rsidRPr="000A7271">
        <w:rPr>
          <w:sz w:val="24"/>
          <w:szCs w:val="24"/>
        </w:rPr>
        <w:t>“</w:t>
      </w:r>
      <w:r w:rsidR="00470C77" w:rsidRPr="000A7271">
        <w:rPr>
          <w:sz w:val="24"/>
          <w:szCs w:val="24"/>
        </w:rPr>
        <w:t>clarify the procedures a registrant must follow for orders received under suspicious circumstances.</w:t>
      </w:r>
      <w:r w:rsidR="00145CD8" w:rsidRPr="000A7271">
        <w:rPr>
          <w:sz w:val="24"/>
          <w:szCs w:val="24"/>
        </w:rPr>
        <w:t xml:space="preserve">”  Suspicious Orders of Controlled Substances, 85 Fed. Reg. 69282, 69284 (Nov. 2, 2020) (“Proposed Rule”).  </w:t>
      </w:r>
      <w:r w:rsidR="00470C77" w:rsidRPr="000A7271">
        <w:rPr>
          <w:sz w:val="24"/>
          <w:szCs w:val="24"/>
        </w:rPr>
        <w:t>DEA’s purported “clarif</w:t>
      </w:r>
      <w:r w:rsidR="00C40FF4" w:rsidRPr="000A7271">
        <w:rPr>
          <w:sz w:val="24"/>
          <w:szCs w:val="24"/>
        </w:rPr>
        <w:t>ication” of</w:t>
      </w:r>
      <w:r w:rsidR="00470C77" w:rsidRPr="000A7271">
        <w:rPr>
          <w:sz w:val="24"/>
          <w:szCs w:val="24"/>
        </w:rPr>
        <w:t xml:space="preserve"> those obligations, however, </w:t>
      </w:r>
      <w:r w:rsidR="00C40FF4" w:rsidRPr="000A7271">
        <w:rPr>
          <w:sz w:val="24"/>
          <w:szCs w:val="24"/>
        </w:rPr>
        <w:t xml:space="preserve">includes an entirely new framework that </w:t>
      </w:r>
      <w:r w:rsidR="00F8169A" w:rsidRPr="000A7271">
        <w:rPr>
          <w:sz w:val="24"/>
          <w:szCs w:val="24"/>
        </w:rPr>
        <w:t>not only is inconsistent with</w:t>
      </w:r>
      <w:r w:rsidR="00E11550" w:rsidRPr="000A7271">
        <w:rPr>
          <w:sz w:val="24"/>
          <w:szCs w:val="24"/>
        </w:rPr>
        <w:t xml:space="preserve"> </w:t>
      </w:r>
      <w:r w:rsidR="00F8169A" w:rsidRPr="000A7271">
        <w:rPr>
          <w:sz w:val="24"/>
          <w:szCs w:val="24"/>
        </w:rPr>
        <w:t>prior DEA guidance</w:t>
      </w:r>
      <w:r w:rsidR="00CC01CD" w:rsidRPr="000A7271">
        <w:rPr>
          <w:sz w:val="24"/>
          <w:szCs w:val="24"/>
        </w:rPr>
        <w:t xml:space="preserve"> as to registrants’ suspicious order</w:t>
      </w:r>
      <w:r w:rsidR="00E11550" w:rsidRPr="000A7271">
        <w:rPr>
          <w:sz w:val="24"/>
          <w:szCs w:val="24"/>
        </w:rPr>
        <w:t xml:space="preserve"> reporting </w:t>
      </w:r>
      <w:r w:rsidR="00CC01CD" w:rsidRPr="000A7271">
        <w:rPr>
          <w:sz w:val="24"/>
          <w:szCs w:val="24"/>
        </w:rPr>
        <w:t>obligations</w:t>
      </w:r>
      <w:r w:rsidR="00955936" w:rsidRPr="000A7271">
        <w:rPr>
          <w:sz w:val="24"/>
          <w:szCs w:val="24"/>
        </w:rPr>
        <w:t xml:space="preserve">, but </w:t>
      </w:r>
      <w:r w:rsidR="00CC01CD" w:rsidRPr="000A7271">
        <w:rPr>
          <w:sz w:val="24"/>
          <w:szCs w:val="24"/>
        </w:rPr>
        <w:t xml:space="preserve">more fundamentally </w:t>
      </w:r>
      <w:r w:rsidR="00955936" w:rsidRPr="000A7271">
        <w:rPr>
          <w:sz w:val="24"/>
          <w:szCs w:val="24"/>
        </w:rPr>
        <w:t xml:space="preserve">represents </w:t>
      </w:r>
      <w:r w:rsidR="00C64349" w:rsidRPr="000A7271">
        <w:rPr>
          <w:sz w:val="24"/>
          <w:szCs w:val="24"/>
        </w:rPr>
        <w:t>a lost opportunity to</w:t>
      </w:r>
      <w:r w:rsidR="004C6E68" w:rsidRPr="000A7271">
        <w:rPr>
          <w:sz w:val="24"/>
          <w:szCs w:val="24"/>
        </w:rPr>
        <w:t xml:space="preserve"> a</w:t>
      </w:r>
      <w:r w:rsidR="00826077" w:rsidRPr="000A7271">
        <w:rPr>
          <w:sz w:val="24"/>
          <w:szCs w:val="24"/>
        </w:rPr>
        <w:t>chieve</w:t>
      </w:r>
      <w:r w:rsidR="004C6E68" w:rsidRPr="000A7271">
        <w:rPr>
          <w:sz w:val="24"/>
          <w:szCs w:val="24"/>
        </w:rPr>
        <w:t xml:space="preserve"> meaningful </w:t>
      </w:r>
      <w:r w:rsidR="00826077" w:rsidRPr="000A7271">
        <w:rPr>
          <w:sz w:val="24"/>
          <w:szCs w:val="24"/>
        </w:rPr>
        <w:t>change</w:t>
      </w:r>
      <w:r w:rsidR="004C6E68" w:rsidRPr="000A7271">
        <w:rPr>
          <w:sz w:val="24"/>
          <w:szCs w:val="24"/>
        </w:rPr>
        <w:t xml:space="preserve">.  </w:t>
      </w:r>
      <w:r w:rsidR="00FC7E55" w:rsidRPr="000A7271">
        <w:rPr>
          <w:sz w:val="24"/>
          <w:szCs w:val="24"/>
        </w:rPr>
        <w:t xml:space="preserve">It remains to be seen whether the </w:t>
      </w:r>
      <w:r w:rsidR="00106D52" w:rsidRPr="000A7271">
        <w:rPr>
          <w:sz w:val="24"/>
          <w:szCs w:val="24"/>
        </w:rPr>
        <w:t xml:space="preserve">extended </w:t>
      </w:r>
      <w:r w:rsidR="00FC7E55" w:rsidRPr="000A7271">
        <w:rPr>
          <w:sz w:val="24"/>
          <w:szCs w:val="24"/>
        </w:rPr>
        <w:t>public comment period</w:t>
      </w:r>
      <w:r w:rsidR="00106D52" w:rsidRPr="000A7271">
        <w:rPr>
          <w:sz w:val="24"/>
          <w:szCs w:val="24"/>
        </w:rPr>
        <w:t xml:space="preserve"> </w:t>
      </w:r>
      <w:r w:rsidR="00ED502A">
        <w:rPr>
          <w:sz w:val="24"/>
          <w:szCs w:val="24"/>
        </w:rPr>
        <w:t xml:space="preserve">for the Proposed Rule </w:t>
      </w:r>
      <w:r w:rsidR="00FC7E55" w:rsidRPr="000A7271">
        <w:rPr>
          <w:sz w:val="24"/>
          <w:szCs w:val="24"/>
        </w:rPr>
        <w:t xml:space="preserve">will be </w:t>
      </w:r>
      <w:r w:rsidR="00106D52" w:rsidRPr="000A7271">
        <w:rPr>
          <w:sz w:val="24"/>
          <w:szCs w:val="24"/>
        </w:rPr>
        <w:t>further extended</w:t>
      </w:r>
      <w:r w:rsidR="00FC7E55" w:rsidRPr="000A7271">
        <w:rPr>
          <w:sz w:val="24"/>
          <w:szCs w:val="24"/>
        </w:rPr>
        <w:t xml:space="preserve">, </w:t>
      </w:r>
      <w:r w:rsidR="007F5F4E" w:rsidRPr="000A7271">
        <w:rPr>
          <w:sz w:val="24"/>
          <w:szCs w:val="24"/>
        </w:rPr>
        <w:t>however</w:t>
      </w:r>
      <w:r w:rsidR="00826077" w:rsidRPr="000A7271">
        <w:rPr>
          <w:sz w:val="24"/>
          <w:szCs w:val="24"/>
        </w:rPr>
        <w:t xml:space="preserve">, a more </w:t>
      </w:r>
      <w:r w:rsidR="001F4192" w:rsidRPr="000A7271">
        <w:rPr>
          <w:sz w:val="24"/>
          <w:szCs w:val="24"/>
        </w:rPr>
        <w:t>comprehensive</w:t>
      </w:r>
      <w:r w:rsidR="00826077" w:rsidRPr="000A7271">
        <w:rPr>
          <w:sz w:val="24"/>
          <w:szCs w:val="24"/>
        </w:rPr>
        <w:t xml:space="preserve"> solution,</w:t>
      </w:r>
      <w:r w:rsidR="00877A83" w:rsidRPr="000A7271">
        <w:rPr>
          <w:sz w:val="24"/>
          <w:szCs w:val="24"/>
        </w:rPr>
        <w:t xml:space="preserve"> one that unites disparate stakeholders and data sets in </w:t>
      </w:r>
      <w:r w:rsidR="00826077" w:rsidRPr="000A7271">
        <w:rPr>
          <w:sz w:val="24"/>
          <w:szCs w:val="24"/>
        </w:rPr>
        <w:t>a committed public-private partnershi</w:t>
      </w:r>
      <w:r w:rsidR="00877A83" w:rsidRPr="000A7271">
        <w:rPr>
          <w:sz w:val="24"/>
          <w:szCs w:val="24"/>
        </w:rPr>
        <w:t xml:space="preserve">p, </w:t>
      </w:r>
      <w:r w:rsidR="00826077" w:rsidRPr="000A7271">
        <w:rPr>
          <w:sz w:val="24"/>
          <w:szCs w:val="24"/>
        </w:rPr>
        <w:t xml:space="preserve">is </w:t>
      </w:r>
      <w:r w:rsidR="007F5F4E" w:rsidRPr="000A7271">
        <w:rPr>
          <w:sz w:val="24"/>
          <w:szCs w:val="24"/>
        </w:rPr>
        <w:t>necessary</w:t>
      </w:r>
      <w:r w:rsidR="00826077" w:rsidRPr="000A7271">
        <w:rPr>
          <w:sz w:val="24"/>
          <w:szCs w:val="24"/>
        </w:rPr>
        <w:t xml:space="preserve"> to </w:t>
      </w:r>
      <w:r w:rsidR="007A1830" w:rsidRPr="000A7271">
        <w:rPr>
          <w:sz w:val="24"/>
          <w:szCs w:val="24"/>
        </w:rPr>
        <w:t>stem</w:t>
      </w:r>
      <w:r w:rsidR="00826077" w:rsidRPr="000A7271">
        <w:rPr>
          <w:sz w:val="24"/>
          <w:szCs w:val="24"/>
        </w:rPr>
        <w:t xml:space="preserve"> the ongoing opioid epidemic.  </w:t>
      </w:r>
    </w:p>
    <w:p w14:paraId="3DE95195" w14:textId="0002EE57" w:rsidR="00B8281D" w:rsidRPr="000A7271" w:rsidRDefault="00106D52" w:rsidP="007A1830">
      <w:pPr>
        <w:ind w:left="720" w:hanging="720"/>
        <w:rPr>
          <w:b/>
          <w:bCs/>
          <w:sz w:val="24"/>
          <w:szCs w:val="24"/>
        </w:rPr>
      </w:pPr>
      <w:r w:rsidRPr="000A7271">
        <w:rPr>
          <w:b/>
          <w:bCs/>
          <w:sz w:val="24"/>
          <w:szCs w:val="24"/>
        </w:rPr>
        <w:t>I.</w:t>
      </w:r>
      <w:r w:rsidRPr="000A7271">
        <w:rPr>
          <w:b/>
          <w:bCs/>
          <w:sz w:val="24"/>
          <w:szCs w:val="24"/>
        </w:rPr>
        <w:tab/>
      </w:r>
      <w:r w:rsidR="00B8281D" w:rsidRPr="000A7271">
        <w:rPr>
          <w:b/>
          <w:bCs/>
          <w:sz w:val="24"/>
          <w:szCs w:val="24"/>
        </w:rPr>
        <w:t xml:space="preserve">DEA’s </w:t>
      </w:r>
      <w:r w:rsidR="00877A83" w:rsidRPr="000A7271">
        <w:rPr>
          <w:b/>
          <w:bCs/>
          <w:sz w:val="24"/>
          <w:szCs w:val="24"/>
        </w:rPr>
        <w:t xml:space="preserve">Prior </w:t>
      </w:r>
      <w:r w:rsidR="006E614C" w:rsidRPr="000A7271">
        <w:rPr>
          <w:b/>
          <w:bCs/>
          <w:sz w:val="24"/>
          <w:szCs w:val="24"/>
        </w:rPr>
        <w:t>Guidance Has Created a Lack of Uniform Industry Standards that Undermine Data Utility</w:t>
      </w:r>
    </w:p>
    <w:p w14:paraId="0B671924" w14:textId="61D46D00" w:rsidR="00F653B3" w:rsidRPr="000A7271" w:rsidRDefault="0070120A" w:rsidP="00B8281D">
      <w:pPr>
        <w:rPr>
          <w:sz w:val="24"/>
          <w:szCs w:val="24"/>
        </w:rPr>
      </w:pPr>
      <w:r w:rsidRPr="000A7271">
        <w:rPr>
          <w:sz w:val="24"/>
          <w:szCs w:val="24"/>
        </w:rPr>
        <w:t xml:space="preserve">The Proposed Rule represents DEA’s latest interpretation of registrants’ suspicious order reporting obligations.  </w:t>
      </w:r>
      <w:r w:rsidR="00C64349" w:rsidRPr="000A7271">
        <w:rPr>
          <w:sz w:val="24"/>
          <w:szCs w:val="24"/>
        </w:rPr>
        <w:t>By way of background, b</w:t>
      </w:r>
      <w:r w:rsidR="00963D21" w:rsidRPr="000A7271">
        <w:rPr>
          <w:sz w:val="24"/>
          <w:szCs w:val="24"/>
        </w:rPr>
        <w:t>eginning in</w:t>
      </w:r>
      <w:r w:rsidR="00F653B3" w:rsidRPr="000A7271">
        <w:rPr>
          <w:sz w:val="24"/>
          <w:szCs w:val="24"/>
        </w:rPr>
        <w:t xml:space="preserve"> or about 200</w:t>
      </w:r>
      <w:r w:rsidR="00963D21" w:rsidRPr="000A7271">
        <w:rPr>
          <w:sz w:val="24"/>
          <w:szCs w:val="24"/>
        </w:rPr>
        <w:t>5</w:t>
      </w:r>
      <w:r w:rsidR="00F653B3" w:rsidRPr="000A7271">
        <w:rPr>
          <w:sz w:val="24"/>
          <w:szCs w:val="24"/>
        </w:rPr>
        <w:t xml:space="preserve">, DEA was confronted with an alarming rise in internet pharmacies, many without storefronts, that were filling prescriptions written by physicians located hundreds of miles from their patients.  The </w:t>
      </w:r>
      <w:r w:rsidR="00131814" w:rsidRPr="000A7271">
        <w:rPr>
          <w:sz w:val="24"/>
          <w:szCs w:val="24"/>
        </w:rPr>
        <w:t>quantities of</w:t>
      </w:r>
      <w:r w:rsidR="00F653B3" w:rsidRPr="000A7271">
        <w:rPr>
          <w:sz w:val="24"/>
          <w:szCs w:val="24"/>
        </w:rPr>
        <w:t xml:space="preserve"> controlled substances</w:t>
      </w:r>
      <w:r w:rsidR="00131814" w:rsidRPr="000A7271">
        <w:rPr>
          <w:sz w:val="24"/>
          <w:szCs w:val="24"/>
        </w:rPr>
        <w:t xml:space="preserve"> ordered by </w:t>
      </w:r>
      <w:r w:rsidR="00F653B3" w:rsidRPr="000A7271">
        <w:rPr>
          <w:sz w:val="24"/>
          <w:szCs w:val="24"/>
        </w:rPr>
        <w:t xml:space="preserve">these pharmacies were </w:t>
      </w:r>
      <w:r w:rsidR="00EB4BF0" w:rsidRPr="000A7271">
        <w:rPr>
          <w:sz w:val="24"/>
          <w:szCs w:val="24"/>
        </w:rPr>
        <w:t>extraordinary</w:t>
      </w:r>
      <w:r w:rsidR="00F653B3" w:rsidRPr="000A7271">
        <w:rPr>
          <w:sz w:val="24"/>
          <w:szCs w:val="24"/>
        </w:rPr>
        <w:t xml:space="preserve"> and </w:t>
      </w:r>
      <w:r w:rsidR="00963D21" w:rsidRPr="000A7271">
        <w:rPr>
          <w:sz w:val="24"/>
          <w:szCs w:val="24"/>
        </w:rPr>
        <w:t xml:space="preserve">facially unsupportable.  In addition, many of the underlying prescriptions were invalid and written in violation of state licensing requirements that required physical examinations of patients, not online consultations.  Thus, because there existed no bona fide doctor/patient relationship, </w:t>
      </w:r>
      <w:r w:rsidR="00C7562D" w:rsidRPr="000A7271">
        <w:rPr>
          <w:sz w:val="24"/>
          <w:szCs w:val="24"/>
        </w:rPr>
        <w:t xml:space="preserve">the orders </w:t>
      </w:r>
      <w:r w:rsidR="00877A83" w:rsidRPr="000A7271">
        <w:rPr>
          <w:sz w:val="24"/>
          <w:szCs w:val="24"/>
        </w:rPr>
        <w:t>evinced</w:t>
      </w:r>
      <w:r w:rsidR="00C7562D" w:rsidRPr="000A7271">
        <w:rPr>
          <w:sz w:val="24"/>
          <w:szCs w:val="24"/>
        </w:rPr>
        <w:t xml:space="preserve"> diversion</w:t>
      </w:r>
      <w:r w:rsidR="00C64349" w:rsidRPr="000A7271">
        <w:rPr>
          <w:sz w:val="24"/>
          <w:szCs w:val="24"/>
        </w:rPr>
        <w:t xml:space="preserve"> into </w:t>
      </w:r>
      <w:r w:rsidR="007B140F" w:rsidRPr="000A7271">
        <w:rPr>
          <w:sz w:val="24"/>
          <w:szCs w:val="24"/>
        </w:rPr>
        <w:t>“</w:t>
      </w:r>
      <w:r w:rsidR="00EB4BF0" w:rsidRPr="000A7271">
        <w:rPr>
          <w:sz w:val="24"/>
          <w:szCs w:val="24"/>
        </w:rPr>
        <w:t>other than legitimate medical, scientific</w:t>
      </w:r>
      <w:r w:rsidR="007B140F" w:rsidRPr="000A7271">
        <w:rPr>
          <w:sz w:val="24"/>
          <w:szCs w:val="24"/>
        </w:rPr>
        <w:t xml:space="preserve">, </w:t>
      </w:r>
      <w:r w:rsidR="00EB4BF0" w:rsidRPr="000A7271">
        <w:rPr>
          <w:sz w:val="24"/>
          <w:szCs w:val="24"/>
        </w:rPr>
        <w:t>and industrial channels.</w:t>
      </w:r>
      <w:r w:rsidR="00145CD8" w:rsidRPr="000A7271">
        <w:rPr>
          <w:sz w:val="24"/>
          <w:szCs w:val="24"/>
        </w:rPr>
        <w:t xml:space="preserve">”  21 U.S.C. </w:t>
      </w:r>
      <w:r w:rsidR="00145CD8" w:rsidRPr="000A7271">
        <w:rPr>
          <w:rFonts w:cstheme="minorHAnsi"/>
          <w:sz w:val="24"/>
          <w:szCs w:val="24"/>
        </w:rPr>
        <w:t>§</w:t>
      </w:r>
      <w:r w:rsidR="00145CD8" w:rsidRPr="000A7271">
        <w:rPr>
          <w:sz w:val="24"/>
          <w:szCs w:val="24"/>
        </w:rPr>
        <w:t xml:space="preserve"> 823(b)(1) (2020).</w:t>
      </w:r>
    </w:p>
    <w:p w14:paraId="396DCB37" w14:textId="1C5774D4" w:rsidR="006F750E" w:rsidRPr="000A7271" w:rsidRDefault="00C7562D" w:rsidP="00B8281D">
      <w:pPr>
        <w:rPr>
          <w:sz w:val="24"/>
          <w:szCs w:val="24"/>
        </w:rPr>
      </w:pPr>
      <w:r w:rsidRPr="000A7271">
        <w:rPr>
          <w:sz w:val="24"/>
          <w:szCs w:val="24"/>
        </w:rPr>
        <w:t>Nonetheless, DEA took the position that registrants were required to report suspicious orders irrespective whether the underlying customer was “suspicious.”  For example, DEA’s Deputy Assistant Administrator instructed the industry that “[t]</w:t>
      </w:r>
      <w:proofErr w:type="gramStart"/>
      <w:r w:rsidRPr="000A7271">
        <w:rPr>
          <w:sz w:val="24"/>
          <w:szCs w:val="24"/>
        </w:rPr>
        <w:t>he</w:t>
      </w:r>
      <w:proofErr w:type="gramEnd"/>
      <w:r w:rsidRPr="000A7271">
        <w:rPr>
          <w:sz w:val="24"/>
          <w:szCs w:val="24"/>
        </w:rPr>
        <w:t xml:space="preserve"> size of an order alone, whether or not it deviates from a normal pattern, is enough to trigger the registrant’s responsibility to report the order as suspicious.</w:t>
      </w:r>
      <w:r w:rsidR="00145CD8" w:rsidRPr="000A7271">
        <w:rPr>
          <w:sz w:val="24"/>
          <w:szCs w:val="24"/>
        </w:rPr>
        <w:t xml:space="preserve">”  Drug Enforcement Administration, Letter from DEA Deputy Assistant Administrator, Office of Diversion Control, to Registrants, at 1 (Dec. 27, 2007), </w:t>
      </w:r>
      <w:hyperlink r:id="rId8" w:history="1">
        <w:r w:rsidR="00145CD8" w:rsidRPr="000A7271">
          <w:rPr>
            <w:rStyle w:val="Hyperlink"/>
            <w:sz w:val="24"/>
            <w:szCs w:val="24"/>
          </w:rPr>
          <w:t>https://www.docketbird.com/court-documents/In-re-National-Prescription-Opiate-Litigation/Exhibit-C-Dec-27-2007-DEA-Letter/ohnd-1:2017-md-02804-02207-003</w:t>
        </w:r>
      </w:hyperlink>
      <w:r w:rsidR="00145CD8" w:rsidRPr="000A7271">
        <w:rPr>
          <w:sz w:val="24"/>
          <w:szCs w:val="24"/>
        </w:rPr>
        <w:t>.</w:t>
      </w:r>
      <w:r w:rsidRPr="000A7271">
        <w:rPr>
          <w:sz w:val="24"/>
          <w:szCs w:val="24"/>
        </w:rPr>
        <w:t xml:space="preserve">  </w:t>
      </w:r>
      <w:r w:rsidR="006F750E" w:rsidRPr="000A7271">
        <w:rPr>
          <w:sz w:val="24"/>
          <w:szCs w:val="24"/>
        </w:rPr>
        <w:t>DEA’s early settlements further distinguished registrants’ suspicious order reporting obligations from diversion.</w:t>
      </w:r>
      <w:r w:rsidR="0002586A" w:rsidRPr="000A7271">
        <w:rPr>
          <w:sz w:val="24"/>
          <w:szCs w:val="24"/>
        </w:rPr>
        <w:t xml:space="preserve">  </w:t>
      </w:r>
      <w:r w:rsidR="00145CD8" w:rsidRPr="000A7271">
        <w:rPr>
          <w:i/>
          <w:iCs/>
          <w:sz w:val="24"/>
          <w:szCs w:val="24"/>
        </w:rPr>
        <w:t>See, e.g.,</w:t>
      </w:r>
      <w:r w:rsidR="00145CD8" w:rsidRPr="000A7271">
        <w:rPr>
          <w:sz w:val="24"/>
          <w:szCs w:val="24"/>
        </w:rPr>
        <w:t xml:space="preserve"> Settlement &amp; Release Agreement and Administrative MOU Between U.S. Department of Justice (DOJ), DEA and McKesson Corp</w:t>
      </w:r>
      <w:r w:rsidR="00ED502A">
        <w:rPr>
          <w:sz w:val="24"/>
          <w:szCs w:val="24"/>
        </w:rPr>
        <w:t>.</w:t>
      </w:r>
      <w:r w:rsidR="00145CD8" w:rsidRPr="000A7271">
        <w:rPr>
          <w:sz w:val="24"/>
          <w:szCs w:val="24"/>
        </w:rPr>
        <w:t xml:space="preserve">, at II.2(c) (“DEA agrees and </w:t>
      </w:r>
      <w:r w:rsidR="00145CD8" w:rsidRPr="000A7271">
        <w:rPr>
          <w:sz w:val="24"/>
          <w:szCs w:val="24"/>
        </w:rPr>
        <w:lastRenderedPageBreak/>
        <w:t>acknowledges that neither the CSA, DEA regulations, nor the terms of this Agreement establish a requirement that reporting of a suspicious order means that a customer be designated as a suspicious customer.”) (May 2, 2008)</w:t>
      </w:r>
      <w:r w:rsidR="00FA1CA8">
        <w:rPr>
          <w:sz w:val="24"/>
          <w:szCs w:val="24"/>
        </w:rPr>
        <w:t xml:space="preserve"> (“2008 McKesson Settlement”)</w:t>
      </w:r>
      <w:r w:rsidR="00145CD8" w:rsidRPr="000A7271">
        <w:rPr>
          <w:sz w:val="24"/>
          <w:szCs w:val="24"/>
        </w:rPr>
        <w:t xml:space="preserve">, </w:t>
      </w:r>
      <w:hyperlink r:id="rId9" w:history="1">
        <w:r w:rsidR="00145CD8" w:rsidRPr="000A7271">
          <w:rPr>
            <w:rStyle w:val="Hyperlink"/>
            <w:sz w:val="24"/>
            <w:szCs w:val="24"/>
          </w:rPr>
          <w:t>https://www.dea.gov/sites/default/files/2018-06/Pharmaceutical%20Agreements%20-%20McKesson%20-%202008_0.pdf</w:t>
        </w:r>
      </w:hyperlink>
      <w:r w:rsidR="00145CD8" w:rsidRPr="000A7271">
        <w:rPr>
          <w:sz w:val="24"/>
          <w:szCs w:val="24"/>
        </w:rPr>
        <w:t xml:space="preserve">.  </w:t>
      </w:r>
      <w:r w:rsidR="006F750E" w:rsidRPr="000A7271">
        <w:rPr>
          <w:sz w:val="24"/>
          <w:szCs w:val="24"/>
        </w:rPr>
        <w:t xml:space="preserve">However, following the enactment of the </w:t>
      </w:r>
      <w:r w:rsidR="007F5F4E" w:rsidRPr="000A7271">
        <w:rPr>
          <w:sz w:val="24"/>
          <w:szCs w:val="24"/>
        </w:rPr>
        <w:t xml:space="preserve">federal </w:t>
      </w:r>
      <w:r w:rsidR="006F750E" w:rsidRPr="000A7271">
        <w:rPr>
          <w:sz w:val="24"/>
          <w:szCs w:val="24"/>
        </w:rPr>
        <w:t>Ryan Haight Act of 2008, which required in-person medical examination</w:t>
      </w:r>
      <w:r w:rsidR="0002586A" w:rsidRPr="000A7271">
        <w:rPr>
          <w:sz w:val="24"/>
          <w:szCs w:val="24"/>
        </w:rPr>
        <w:t>s</w:t>
      </w:r>
      <w:r w:rsidR="006F750E" w:rsidRPr="000A7271">
        <w:rPr>
          <w:sz w:val="24"/>
          <w:szCs w:val="24"/>
        </w:rPr>
        <w:t xml:space="preserve">, many of the suspicious </w:t>
      </w:r>
      <w:r w:rsidR="00831F50" w:rsidRPr="000A7271">
        <w:rPr>
          <w:sz w:val="24"/>
          <w:szCs w:val="24"/>
        </w:rPr>
        <w:t xml:space="preserve">order </w:t>
      </w:r>
      <w:r w:rsidR="006F750E" w:rsidRPr="000A7271">
        <w:rPr>
          <w:sz w:val="24"/>
          <w:szCs w:val="24"/>
        </w:rPr>
        <w:t xml:space="preserve">hallmarks that DEA had relied upon in the internet pharmacy </w:t>
      </w:r>
      <w:r w:rsidR="00FC47EB" w:rsidRPr="000A7271">
        <w:rPr>
          <w:sz w:val="24"/>
          <w:szCs w:val="24"/>
        </w:rPr>
        <w:t>enforcement actions</w:t>
      </w:r>
      <w:r w:rsidR="006F750E" w:rsidRPr="000A7271">
        <w:rPr>
          <w:sz w:val="24"/>
          <w:szCs w:val="24"/>
        </w:rPr>
        <w:t xml:space="preserve"> became much less </w:t>
      </w:r>
      <w:r w:rsidR="00B056F4" w:rsidRPr="000A7271">
        <w:rPr>
          <w:sz w:val="24"/>
          <w:szCs w:val="24"/>
        </w:rPr>
        <w:t>evident</w:t>
      </w:r>
      <w:r w:rsidR="006F750E" w:rsidRPr="000A7271">
        <w:rPr>
          <w:sz w:val="24"/>
          <w:szCs w:val="24"/>
        </w:rPr>
        <w:t>.</w:t>
      </w:r>
      <w:r w:rsidR="00831F50" w:rsidRPr="000A7271">
        <w:rPr>
          <w:sz w:val="24"/>
          <w:szCs w:val="24"/>
        </w:rPr>
        <w:t xml:space="preserve">  DEA refused to provide further clarification, instead routinely stating</w:t>
      </w:r>
      <w:r w:rsidR="00FC47EB" w:rsidRPr="000A7271">
        <w:rPr>
          <w:sz w:val="24"/>
          <w:szCs w:val="24"/>
        </w:rPr>
        <w:t>,</w:t>
      </w:r>
      <w:r w:rsidR="00831F50" w:rsidRPr="000A7271">
        <w:rPr>
          <w:sz w:val="24"/>
          <w:szCs w:val="24"/>
        </w:rPr>
        <w:t xml:space="preserve"> “DEA does not endorse or approve of any specific system or approach implemented by DEA registrants to satisfy their obligations.</w:t>
      </w:r>
      <w:r w:rsidR="00145CD8" w:rsidRPr="000A7271">
        <w:rPr>
          <w:sz w:val="24"/>
          <w:szCs w:val="24"/>
        </w:rPr>
        <w:t xml:space="preserve">”  Administrative Memorandum of Agreement Between DOJ, </w:t>
      </w:r>
      <w:proofErr w:type="gramStart"/>
      <w:r w:rsidR="00145CD8" w:rsidRPr="000A7271">
        <w:rPr>
          <w:sz w:val="24"/>
          <w:szCs w:val="24"/>
        </w:rPr>
        <w:t>DEA</w:t>
      </w:r>
      <w:proofErr w:type="gramEnd"/>
      <w:r w:rsidR="00145CD8" w:rsidRPr="000A7271">
        <w:rPr>
          <w:sz w:val="24"/>
          <w:szCs w:val="24"/>
        </w:rPr>
        <w:t xml:space="preserve"> and McKesson Corp., at 8 (Jan. 17, 2017)</w:t>
      </w:r>
      <w:r w:rsidR="00FA1CA8">
        <w:rPr>
          <w:sz w:val="24"/>
          <w:szCs w:val="24"/>
        </w:rPr>
        <w:t xml:space="preserve"> (“2017 McKesson Settlement”)</w:t>
      </w:r>
      <w:r w:rsidR="00145CD8" w:rsidRPr="000A7271">
        <w:rPr>
          <w:sz w:val="24"/>
          <w:szCs w:val="24"/>
        </w:rPr>
        <w:t xml:space="preserve">, </w:t>
      </w:r>
      <w:hyperlink r:id="rId10" w:history="1">
        <w:r w:rsidR="00145CD8" w:rsidRPr="000A7271">
          <w:rPr>
            <w:rStyle w:val="Hyperlink"/>
            <w:sz w:val="24"/>
            <w:szCs w:val="24"/>
          </w:rPr>
          <w:t>https://www.justice.gov/opa/press-release/file/928476/download</w:t>
        </w:r>
      </w:hyperlink>
      <w:r w:rsidR="00145CD8" w:rsidRPr="000A7271">
        <w:rPr>
          <w:sz w:val="24"/>
          <w:szCs w:val="24"/>
        </w:rPr>
        <w:t xml:space="preserve">.  </w:t>
      </w:r>
      <w:r w:rsidR="00B056F4" w:rsidRPr="000A7271">
        <w:rPr>
          <w:sz w:val="24"/>
          <w:szCs w:val="24"/>
        </w:rPr>
        <w:t>Consequently, as recounted in the Proposed Rule, registrants adopted different approach</w:t>
      </w:r>
      <w:r w:rsidR="00B2373F" w:rsidRPr="000A7271">
        <w:rPr>
          <w:sz w:val="24"/>
          <w:szCs w:val="24"/>
        </w:rPr>
        <w:t xml:space="preserve">es, </w:t>
      </w:r>
      <w:r w:rsidR="00B056F4" w:rsidRPr="000A7271">
        <w:rPr>
          <w:sz w:val="24"/>
          <w:szCs w:val="24"/>
        </w:rPr>
        <w:t>including “rigid formulas,” “end-of-month excessive purchase reports,” reports of “largest purchasers,” and reports of “customers with whom the registrant had terminated a business relationship.</w:t>
      </w:r>
      <w:r w:rsidR="00145CD8" w:rsidRPr="000A7271">
        <w:rPr>
          <w:sz w:val="24"/>
          <w:szCs w:val="24"/>
        </w:rPr>
        <w:t xml:space="preserve">”  85 F.R. at 69284. </w:t>
      </w:r>
      <w:r w:rsidR="00B056F4" w:rsidRPr="000A7271">
        <w:rPr>
          <w:sz w:val="24"/>
          <w:szCs w:val="24"/>
        </w:rPr>
        <w:t xml:space="preserve"> </w:t>
      </w:r>
      <w:r w:rsidR="00B2373F" w:rsidRPr="000A7271">
        <w:rPr>
          <w:sz w:val="24"/>
          <w:szCs w:val="24"/>
        </w:rPr>
        <w:t xml:space="preserve">DEA </w:t>
      </w:r>
      <w:r w:rsidR="00FD59D7" w:rsidRPr="000A7271">
        <w:rPr>
          <w:sz w:val="24"/>
          <w:szCs w:val="24"/>
        </w:rPr>
        <w:t>claims that these</w:t>
      </w:r>
      <w:r w:rsidR="00B2373F" w:rsidRPr="000A7271">
        <w:rPr>
          <w:sz w:val="24"/>
          <w:szCs w:val="24"/>
        </w:rPr>
        <w:t xml:space="preserve"> systems “failed to fulfill” registrants’ obligations regarding the identification and reporting of suspicious orders</w:t>
      </w:r>
      <w:r w:rsidR="00145CD8" w:rsidRPr="000A7271">
        <w:rPr>
          <w:sz w:val="24"/>
          <w:szCs w:val="24"/>
        </w:rPr>
        <w:t xml:space="preserve">.  </w:t>
      </w:r>
      <w:r w:rsidR="00145CD8" w:rsidRPr="000A7271">
        <w:rPr>
          <w:i/>
          <w:iCs/>
          <w:sz w:val="24"/>
          <w:szCs w:val="24"/>
        </w:rPr>
        <w:t>Id.</w:t>
      </w:r>
      <w:r w:rsidR="00145CD8" w:rsidRPr="000A7271">
        <w:rPr>
          <w:sz w:val="24"/>
          <w:szCs w:val="24"/>
        </w:rPr>
        <w:t xml:space="preserve"> </w:t>
      </w:r>
      <w:r w:rsidR="00B2373F" w:rsidRPr="000A7271">
        <w:rPr>
          <w:sz w:val="24"/>
          <w:szCs w:val="24"/>
        </w:rPr>
        <w:t xml:space="preserve">  </w:t>
      </w:r>
    </w:p>
    <w:p w14:paraId="67E1ADB7" w14:textId="126E83D4" w:rsidR="00877A83" w:rsidRPr="000A7271" w:rsidRDefault="00877A83" w:rsidP="00B8281D">
      <w:pPr>
        <w:rPr>
          <w:sz w:val="24"/>
          <w:szCs w:val="24"/>
        </w:rPr>
      </w:pPr>
      <w:r w:rsidRPr="000A7271">
        <w:rPr>
          <w:sz w:val="24"/>
          <w:szCs w:val="24"/>
        </w:rPr>
        <w:t>The Proposed Rule, however, provides no further guidance into registrants’ obligations; it merely reiterates the “size, pattern, and frequency” standard</w:t>
      </w:r>
      <w:r w:rsidR="00145CD8" w:rsidRPr="000A7271">
        <w:rPr>
          <w:sz w:val="24"/>
          <w:szCs w:val="24"/>
        </w:rPr>
        <w:t xml:space="preserve">.  </w:t>
      </w:r>
      <w:r w:rsidR="00145CD8" w:rsidRPr="000A7271">
        <w:rPr>
          <w:i/>
          <w:iCs/>
          <w:sz w:val="24"/>
          <w:szCs w:val="24"/>
        </w:rPr>
        <w:t>Id.</w:t>
      </w:r>
      <w:r w:rsidR="00145CD8" w:rsidRPr="000A7271">
        <w:rPr>
          <w:sz w:val="24"/>
          <w:szCs w:val="24"/>
        </w:rPr>
        <w:t xml:space="preserve"> at 69285; 21 C.F.R. </w:t>
      </w:r>
      <w:r w:rsidR="00145CD8" w:rsidRPr="000A7271">
        <w:rPr>
          <w:rFonts w:cstheme="minorHAnsi"/>
          <w:sz w:val="24"/>
          <w:szCs w:val="24"/>
        </w:rPr>
        <w:t>§</w:t>
      </w:r>
      <w:r w:rsidR="00145CD8" w:rsidRPr="000A7271">
        <w:rPr>
          <w:sz w:val="24"/>
          <w:szCs w:val="24"/>
        </w:rPr>
        <w:t xml:space="preserve"> 1301.74(b).</w:t>
      </w:r>
      <w:r w:rsidR="00B57BF1" w:rsidRPr="000A7271">
        <w:rPr>
          <w:sz w:val="24"/>
          <w:szCs w:val="24"/>
        </w:rPr>
        <w:t xml:space="preserve">  </w:t>
      </w:r>
      <w:r w:rsidRPr="000A7271">
        <w:rPr>
          <w:sz w:val="24"/>
          <w:szCs w:val="24"/>
        </w:rPr>
        <w:t>DEA refuses to acknowledge</w:t>
      </w:r>
      <w:r w:rsidR="004C070E" w:rsidRPr="000A7271">
        <w:rPr>
          <w:sz w:val="24"/>
          <w:szCs w:val="24"/>
        </w:rPr>
        <w:t>, apparently, that there currently exist widely divergent interpretations of these criteria across registrants, such that one registrant might report an order whereas another registrant might not report th</w:t>
      </w:r>
      <w:r w:rsidR="00FC47EB" w:rsidRPr="000A7271">
        <w:rPr>
          <w:sz w:val="24"/>
          <w:szCs w:val="24"/>
        </w:rPr>
        <w:t>at</w:t>
      </w:r>
      <w:r w:rsidR="004C070E" w:rsidRPr="000A7271">
        <w:rPr>
          <w:sz w:val="24"/>
          <w:szCs w:val="24"/>
        </w:rPr>
        <w:t xml:space="preserve"> same order.  In other words, it is not surprising that DEA previously was scrutinized for failing to act “on the information it requires distributors to report.</w:t>
      </w:r>
      <w:r w:rsidR="00145CD8" w:rsidRPr="000A7271">
        <w:rPr>
          <w:sz w:val="24"/>
          <w:szCs w:val="24"/>
        </w:rPr>
        <w:t xml:space="preserve">”  </w:t>
      </w:r>
      <w:r w:rsidR="00145CD8" w:rsidRPr="000A7271">
        <w:rPr>
          <w:i/>
          <w:iCs/>
          <w:sz w:val="24"/>
          <w:szCs w:val="24"/>
        </w:rPr>
        <w:t>Red Flags and Warning Signs Ignored:  Opioid Distribution and Enforcement Concerns in West Virginia</w:t>
      </w:r>
      <w:r w:rsidR="00145CD8" w:rsidRPr="000A7271">
        <w:rPr>
          <w:sz w:val="24"/>
          <w:szCs w:val="24"/>
        </w:rPr>
        <w:t xml:space="preserve">, Subcommittee on Oversight and Investigations, at 64 (Dec. 19, 2018), </w:t>
      </w:r>
      <w:hyperlink r:id="rId11" w:history="1">
        <w:r w:rsidR="00145CD8" w:rsidRPr="000A7271">
          <w:rPr>
            <w:rStyle w:val="Hyperlink"/>
            <w:sz w:val="24"/>
            <w:szCs w:val="24"/>
          </w:rPr>
          <w:t>https://republicans-energycommerce.house.gov/wp-content/uploads/2018/12/Opioid-Distribution-Report-FinalREV.pdf</w:t>
        </w:r>
      </w:hyperlink>
      <w:r w:rsidR="00145CD8" w:rsidRPr="000A7271">
        <w:rPr>
          <w:sz w:val="24"/>
          <w:szCs w:val="24"/>
        </w:rPr>
        <w:t>.</w:t>
      </w:r>
      <w:r w:rsidR="002D2206" w:rsidRPr="000A7271">
        <w:rPr>
          <w:sz w:val="24"/>
          <w:szCs w:val="24"/>
        </w:rPr>
        <w:t xml:space="preserve">  </w:t>
      </w:r>
      <w:r w:rsidR="004C070E" w:rsidRPr="000A7271">
        <w:rPr>
          <w:sz w:val="24"/>
          <w:szCs w:val="24"/>
        </w:rPr>
        <w:t>Because no uniform reporting standards exist, DEA cannot</w:t>
      </w:r>
      <w:r w:rsidR="008C185B" w:rsidRPr="000A7271">
        <w:rPr>
          <w:sz w:val="24"/>
          <w:szCs w:val="24"/>
        </w:rPr>
        <w:t xml:space="preserve"> translate effectively</w:t>
      </w:r>
      <w:r w:rsidR="004C070E" w:rsidRPr="000A7271">
        <w:rPr>
          <w:sz w:val="24"/>
          <w:szCs w:val="24"/>
        </w:rPr>
        <w:t xml:space="preserve"> the voluminous suspicious order data it receives</w:t>
      </w:r>
      <w:r w:rsidR="008C185B" w:rsidRPr="000A7271">
        <w:rPr>
          <w:sz w:val="24"/>
          <w:szCs w:val="24"/>
        </w:rPr>
        <w:t>, let alone make meaningful use of that data to combat diversion.</w:t>
      </w:r>
    </w:p>
    <w:p w14:paraId="6257661A" w14:textId="3EA16A8D" w:rsidR="00BB2684" w:rsidRPr="000A7271" w:rsidRDefault="00BB2684" w:rsidP="00B056F4">
      <w:pPr>
        <w:rPr>
          <w:b/>
          <w:bCs/>
          <w:sz w:val="24"/>
          <w:szCs w:val="24"/>
        </w:rPr>
      </w:pPr>
      <w:r w:rsidRPr="000A7271">
        <w:rPr>
          <w:b/>
          <w:bCs/>
          <w:sz w:val="24"/>
          <w:szCs w:val="24"/>
        </w:rPr>
        <w:t>II.</w:t>
      </w:r>
      <w:r w:rsidRPr="000A7271">
        <w:rPr>
          <w:b/>
          <w:bCs/>
          <w:sz w:val="24"/>
          <w:szCs w:val="24"/>
        </w:rPr>
        <w:tab/>
      </w:r>
      <w:r w:rsidR="007A1830" w:rsidRPr="000A7271">
        <w:rPr>
          <w:b/>
          <w:bCs/>
          <w:sz w:val="24"/>
          <w:szCs w:val="24"/>
        </w:rPr>
        <w:t>The Proposed Rule’s</w:t>
      </w:r>
      <w:r w:rsidRPr="000A7271">
        <w:rPr>
          <w:b/>
          <w:bCs/>
          <w:sz w:val="24"/>
          <w:szCs w:val="24"/>
        </w:rPr>
        <w:t xml:space="preserve"> </w:t>
      </w:r>
      <w:r w:rsidR="004C7B32" w:rsidRPr="000A7271">
        <w:rPr>
          <w:b/>
          <w:bCs/>
          <w:sz w:val="24"/>
          <w:szCs w:val="24"/>
        </w:rPr>
        <w:t>“Two-Option” Format for the Reporting of Suspicious Orders is Illusory</w:t>
      </w:r>
    </w:p>
    <w:p w14:paraId="5D1A0E1C" w14:textId="1A955356" w:rsidR="00BB2684" w:rsidRPr="000A7271" w:rsidRDefault="004C7B32" w:rsidP="00B056F4">
      <w:pPr>
        <w:rPr>
          <w:sz w:val="24"/>
          <w:szCs w:val="24"/>
        </w:rPr>
      </w:pPr>
      <w:r w:rsidRPr="000A7271">
        <w:rPr>
          <w:sz w:val="24"/>
          <w:szCs w:val="24"/>
        </w:rPr>
        <w:t xml:space="preserve">The Proposed Rule ostensibly permits registrants more flexibility in the administration of their suspicious order monitoring programs insofar as those systems </w:t>
      </w:r>
      <w:r w:rsidR="00EB4BF0" w:rsidRPr="000A7271">
        <w:rPr>
          <w:sz w:val="24"/>
          <w:szCs w:val="24"/>
        </w:rPr>
        <w:t>will</w:t>
      </w:r>
      <w:r w:rsidR="00471258" w:rsidRPr="000A7271">
        <w:rPr>
          <w:sz w:val="24"/>
          <w:szCs w:val="24"/>
        </w:rPr>
        <w:t xml:space="preserve"> now be designed</w:t>
      </w:r>
      <w:r w:rsidR="00EB4BF0" w:rsidRPr="000A7271">
        <w:rPr>
          <w:sz w:val="24"/>
          <w:szCs w:val="24"/>
        </w:rPr>
        <w:t xml:space="preserve"> </w:t>
      </w:r>
      <w:r w:rsidRPr="000A7271">
        <w:rPr>
          <w:sz w:val="24"/>
          <w:szCs w:val="24"/>
        </w:rPr>
        <w:t>“not only to identify size, pattern, and frequency orders, but also to identify suspicious orders based on facts and circumstances</w:t>
      </w:r>
      <w:r w:rsidR="00FC47EB" w:rsidRPr="000A7271">
        <w:rPr>
          <w:sz w:val="24"/>
          <w:szCs w:val="24"/>
        </w:rPr>
        <w:t xml:space="preserve">” suggestive of </w:t>
      </w:r>
      <w:r w:rsidRPr="000A7271">
        <w:rPr>
          <w:sz w:val="24"/>
          <w:szCs w:val="24"/>
        </w:rPr>
        <w:t>whether a person “is engaged in, or is likely to engage in, the diversion of controlled substances.</w:t>
      </w:r>
      <w:r w:rsidR="00145CD8" w:rsidRPr="000A7271">
        <w:rPr>
          <w:sz w:val="24"/>
          <w:szCs w:val="24"/>
        </w:rPr>
        <w:t>”  85 F.R. at 69285.</w:t>
      </w:r>
      <w:r w:rsidRPr="000A7271">
        <w:rPr>
          <w:sz w:val="24"/>
          <w:szCs w:val="24"/>
        </w:rPr>
        <w:t xml:space="preserve">  </w:t>
      </w:r>
      <w:r w:rsidR="00471258" w:rsidRPr="000A7271">
        <w:rPr>
          <w:sz w:val="24"/>
          <w:szCs w:val="24"/>
        </w:rPr>
        <w:t xml:space="preserve">Orders that fall within the foregoing parameters are defined as “orders received under suspicious circumstances,” and may be processed pursuant to a “two-option framework” that requires the registrant to either (1) immediately file a suspicious order report </w:t>
      </w:r>
      <w:r w:rsidR="008C185B" w:rsidRPr="000A7271">
        <w:rPr>
          <w:sz w:val="24"/>
          <w:szCs w:val="24"/>
        </w:rPr>
        <w:t xml:space="preserve">and </w:t>
      </w:r>
      <w:r w:rsidR="00471258" w:rsidRPr="000A7271">
        <w:rPr>
          <w:sz w:val="24"/>
          <w:szCs w:val="24"/>
        </w:rPr>
        <w:t xml:space="preserve">decline to distribute the order; or (2) before </w:t>
      </w:r>
      <w:r w:rsidR="00471258" w:rsidRPr="000A7271">
        <w:rPr>
          <w:sz w:val="24"/>
          <w:szCs w:val="24"/>
        </w:rPr>
        <w:lastRenderedPageBreak/>
        <w:t>distributing pursuant to the order, “conduct due diligence to investigate each suspicious circumstance.</w:t>
      </w:r>
      <w:r w:rsidR="00145CD8" w:rsidRPr="000A7271">
        <w:rPr>
          <w:sz w:val="24"/>
          <w:szCs w:val="24"/>
        </w:rPr>
        <w:t xml:space="preserve">”  </w:t>
      </w:r>
      <w:r w:rsidR="00145CD8" w:rsidRPr="000A7271">
        <w:rPr>
          <w:i/>
          <w:iCs/>
          <w:sz w:val="24"/>
          <w:szCs w:val="24"/>
        </w:rPr>
        <w:t xml:space="preserve">Id. </w:t>
      </w:r>
      <w:r w:rsidR="00145CD8" w:rsidRPr="000A7271">
        <w:rPr>
          <w:sz w:val="24"/>
          <w:szCs w:val="24"/>
        </w:rPr>
        <w:t>at 69288.</w:t>
      </w:r>
    </w:p>
    <w:p w14:paraId="6BDCEABE" w14:textId="42446F70" w:rsidR="00B2373F" w:rsidRPr="000A7271" w:rsidRDefault="00471258" w:rsidP="00B056F4">
      <w:pPr>
        <w:rPr>
          <w:sz w:val="24"/>
          <w:szCs w:val="24"/>
        </w:rPr>
      </w:pPr>
      <w:r w:rsidRPr="000A7271">
        <w:rPr>
          <w:sz w:val="24"/>
          <w:szCs w:val="24"/>
        </w:rPr>
        <w:t>Hence, through the addition of a second option</w:t>
      </w:r>
      <w:r w:rsidR="00B2373F" w:rsidRPr="000A7271">
        <w:rPr>
          <w:sz w:val="24"/>
          <w:szCs w:val="24"/>
        </w:rPr>
        <w:t xml:space="preserve"> that would permit otherwise suspicious orders to be cleared and shipped, DEA seeks to incentivize the industry to investigate diversion</w:t>
      </w:r>
      <w:r w:rsidR="00145CD8" w:rsidRPr="000A7271">
        <w:rPr>
          <w:sz w:val="24"/>
          <w:szCs w:val="24"/>
        </w:rPr>
        <w:t xml:space="preserve">.  </w:t>
      </w:r>
      <w:r w:rsidR="00145CD8" w:rsidRPr="000A7271">
        <w:rPr>
          <w:i/>
          <w:iCs/>
          <w:sz w:val="24"/>
          <w:szCs w:val="24"/>
        </w:rPr>
        <w:t>See</w:t>
      </w:r>
      <w:r w:rsidR="00145CD8" w:rsidRPr="000A7271">
        <w:rPr>
          <w:sz w:val="24"/>
          <w:szCs w:val="24"/>
        </w:rPr>
        <w:t xml:space="preserve"> </w:t>
      </w:r>
      <w:r w:rsidR="00145CD8" w:rsidRPr="000A7271">
        <w:rPr>
          <w:i/>
          <w:iCs/>
          <w:sz w:val="24"/>
          <w:szCs w:val="24"/>
        </w:rPr>
        <w:t xml:space="preserve">id. </w:t>
      </w:r>
      <w:r w:rsidR="00145CD8" w:rsidRPr="000A7271">
        <w:rPr>
          <w:sz w:val="24"/>
          <w:szCs w:val="24"/>
        </w:rPr>
        <w:t>at 69284 (“The purpose of identifying and reporting suspicious orders to DEA is to provide DEA investigators in the field with information regarding potential illegal activity in an expeditious manner.”).</w:t>
      </w:r>
      <w:r w:rsidR="00F77D1E" w:rsidRPr="000A7271">
        <w:rPr>
          <w:sz w:val="24"/>
          <w:szCs w:val="24"/>
        </w:rPr>
        <w:t xml:space="preserve">  </w:t>
      </w:r>
      <w:r w:rsidR="00B2373F" w:rsidRPr="000A7271">
        <w:rPr>
          <w:sz w:val="24"/>
          <w:szCs w:val="24"/>
        </w:rPr>
        <w:t xml:space="preserve">That effort is socially desirable burden-sharing and appropriate; DEA does not possess adequate resources to police the more than 1.73 million registrants permitted to manufacture, </w:t>
      </w:r>
      <w:proofErr w:type="gramStart"/>
      <w:r w:rsidR="00B2373F" w:rsidRPr="000A7271">
        <w:rPr>
          <w:sz w:val="24"/>
          <w:szCs w:val="24"/>
        </w:rPr>
        <w:t>distribute</w:t>
      </w:r>
      <w:proofErr w:type="gramEnd"/>
      <w:r w:rsidR="00B2373F" w:rsidRPr="000A7271">
        <w:rPr>
          <w:sz w:val="24"/>
          <w:szCs w:val="24"/>
        </w:rPr>
        <w:t xml:space="preserve"> and prescribe controlled substances in the United States.  Moreover, DEA’s approach is laudable insofar as it attempts to strike at diversion, not merely </w:t>
      </w:r>
      <w:r w:rsidR="00FC47EB" w:rsidRPr="000A7271">
        <w:rPr>
          <w:sz w:val="24"/>
          <w:szCs w:val="24"/>
        </w:rPr>
        <w:t xml:space="preserve">intake </w:t>
      </w:r>
      <w:r w:rsidR="00B2373F" w:rsidRPr="000A7271">
        <w:rPr>
          <w:sz w:val="24"/>
          <w:szCs w:val="24"/>
        </w:rPr>
        <w:t>suspicious order reports</w:t>
      </w:r>
      <w:r w:rsidR="008C185B" w:rsidRPr="000A7271">
        <w:rPr>
          <w:sz w:val="24"/>
          <w:szCs w:val="24"/>
        </w:rPr>
        <w:t xml:space="preserve"> </w:t>
      </w:r>
      <w:r w:rsidR="00FC47EB" w:rsidRPr="000A7271">
        <w:rPr>
          <w:sz w:val="24"/>
          <w:szCs w:val="24"/>
        </w:rPr>
        <w:t>of</w:t>
      </w:r>
      <w:r w:rsidR="008C185B" w:rsidRPr="000A7271">
        <w:rPr>
          <w:sz w:val="24"/>
          <w:szCs w:val="24"/>
        </w:rPr>
        <w:t xml:space="preserve"> dubious value.</w:t>
      </w:r>
      <w:r w:rsidR="00B2373F" w:rsidRPr="000A7271">
        <w:rPr>
          <w:sz w:val="24"/>
          <w:szCs w:val="24"/>
        </w:rPr>
        <w:t xml:space="preserve">  </w:t>
      </w:r>
    </w:p>
    <w:p w14:paraId="32EB489E" w14:textId="1B193960" w:rsidR="00260925" w:rsidRPr="000A7271" w:rsidRDefault="00B2373F" w:rsidP="00B056F4">
      <w:pPr>
        <w:rPr>
          <w:sz w:val="24"/>
          <w:szCs w:val="24"/>
        </w:rPr>
      </w:pPr>
      <w:r w:rsidRPr="000A7271">
        <w:rPr>
          <w:sz w:val="24"/>
          <w:szCs w:val="24"/>
        </w:rPr>
        <w:t xml:space="preserve">Nonetheless, because the Proposed Rule continues to define suspicious orders by reference to the characteristics of individual orders, it </w:t>
      </w:r>
      <w:r w:rsidR="00F77D1E" w:rsidRPr="000A7271">
        <w:rPr>
          <w:sz w:val="24"/>
          <w:szCs w:val="24"/>
        </w:rPr>
        <w:t xml:space="preserve">cannot </w:t>
      </w:r>
      <w:r w:rsidR="00145CD8" w:rsidRPr="000A7271">
        <w:rPr>
          <w:sz w:val="24"/>
          <w:szCs w:val="24"/>
        </w:rPr>
        <w:t>effect</w:t>
      </w:r>
      <w:r w:rsidRPr="000A7271">
        <w:rPr>
          <w:sz w:val="24"/>
          <w:szCs w:val="24"/>
        </w:rPr>
        <w:t xml:space="preserve"> meaningful change.</w:t>
      </w:r>
      <w:r w:rsidR="005743F2" w:rsidRPr="000A7271">
        <w:rPr>
          <w:sz w:val="24"/>
          <w:szCs w:val="24"/>
        </w:rPr>
        <w:t xml:space="preserve">  First, </w:t>
      </w:r>
      <w:r w:rsidR="008C185B" w:rsidRPr="000A7271">
        <w:rPr>
          <w:sz w:val="24"/>
          <w:szCs w:val="24"/>
        </w:rPr>
        <w:t>relying on</w:t>
      </w:r>
      <w:r w:rsidR="005743F2" w:rsidRPr="000A7271">
        <w:rPr>
          <w:sz w:val="24"/>
          <w:szCs w:val="24"/>
        </w:rPr>
        <w:t xml:space="preserve"> DEA’s prior</w:t>
      </w:r>
      <w:r w:rsidR="008C185B" w:rsidRPr="000A7271">
        <w:rPr>
          <w:sz w:val="24"/>
          <w:szCs w:val="24"/>
        </w:rPr>
        <w:t xml:space="preserve"> </w:t>
      </w:r>
      <w:r w:rsidR="005743F2" w:rsidRPr="000A7271">
        <w:rPr>
          <w:sz w:val="24"/>
          <w:szCs w:val="24"/>
        </w:rPr>
        <w:t xml:space="preserve">guidance, many registrants have implemented sophisticated monitoring systems that use varying data points to pinpoint deviations across orders.  </w:t>
      </w:r>
      <w:r w:rsidR="008C185B" w:rsidRPr="000A7271">
        <w:rPr>
          <w:sz w:val="24"/>
          <w:szCs w:val="24"/>
        </w:rPr>
        <w:t>Consequently</w:t>
      </w:r>
      <w:r w:rsidR="007A29BA" w:rsidRPr="000A7271">
        <w:rPr>
          <w:sz w:val="24"/>
          <w:szCs w:val="24"/>
        </w:rPr>
        <w:t>, these systems often flag a</w:t>
      </w:r>
      <w:r w:rsidR="005743F2" w:rsidRPr="000A7271">
        <w:rPr>
          <w:sz w:val="24"/>
          <w:szCs w:val="24"/>
        </w:rPr>
        <w:t xml:space="preserve">nomalies in pharmacy ordering patterns </w:t>
      </w:r>
      <w:r w:rsidR="007A29BA" w:rsidRPr="000A7271">
        <w:rPr>
          <w:sz w:val="24"/>
          <w:szCs w:val="24"/>
        </w:rPr>
        <w:t>that are legitimate for</w:t>
      </w:r>
      <w:r w:rsidR="005743F2" w:rsidRPr="000A7271">
        <w:rPr>
          <w:sz w:val="24"/>
          <w:szCs w:val="24"/>
        </w:rPr>
        <w:t xml:space="preserve"> countless reasons.  </w:t>
      </w:r>
      <w:r w:rsidR="008C185B" w:rsidRPr="000A7271">
        <w:rPr>
          <w:sz w:val="24"/>
          <w:szCs w:val="24"/>
        </w:rPr>
        <w:t>Yet</w:t>
      </w:r>
      <w:r w:rsidR="005743F2" w:rsidRPr="000A7271">
        <w:rPr>
          <w:sz w:val="24"/>
          <w:szCs w:val="24"/>
        </w:rPr>
        <w:t>, having previously been penalized by DEA for underreporting suspicious orders,</w:t>
      </w:r>
      <w:r w:rsidR="00F77D1E" w:rsidRPr="000A7271">
        <w:rPr>
          <w:sz w:val="24"/>
          <w:szCs w:val="24"/>
        </w:rPr>
        <w:t xml:space="preserve"> registrants likely perceive that</w:t>
      </w:r>
      <w:r w:rsidR="005743F2" w:rsidRPr="000A7271">
        <w:rPr>
          <w:sz w:val="24"/>
          <w:szCs w:val="24"/>
        </w:rPr>
        <w:t xml:space="preserve"> </w:t>
      </w:r>
      <w:r w:rsidR="008C185B" w:rsidRPr="000A7271">
        <w:rPr>
          <w:sz w:val="24"/>
          <w:szCs w:val="24"/>
        </w:rPr>
        <w:t xml:space="preserve">less regulatory risk adheres to systems </w:t>
      </w:r>
      <w:r w:rsidR="00FD4D48" w:rsidRPr="000A7271">
        <w:rPr>
          <w:sz w:val="24"/>
          <w:szCs w:val="24"/>
        </w:rPr>
        <w:t>bias</w:t>
      </w:r>
      <w:r w:rsidR="00F77D1E" w:rsidRPr="000A7271">
        <w:rPr>
          <w:sz w:val="24"/>
          <w:szCs w:val="24"/>
        </w:rPr>
        <w:t>ed</w:t>
      </w:r>
      <w:r w:rsidR="00FD4D48" w:rsidRPr="000A7271">
        <w:rPr>
          <w:sz w:val="24"/>
          <w:szCs w:val="24"/>
        </w:rPr>
        <w:t xml:space="preserve"> towards </w:t>
      </w:r>
      <w:r w:rsidR="005743F2" w:rsidRPr="000A7271">
        <w:rPr>
          <w:sz w:val="24"/>
          <w:szCs w:val="24"/>
        </w:rPr>
        <w:t>overreporting.  Second,</w:t>
      </w:r>
      <w:r w:rsidR="007A29BA" w:rsidRPr="000A7271">
        <w:rPr>
          <w:sz w:val="24"/>
          <w:szCs w:val="24"/>
        </w:rPr>
        <w:t xml:space="preserve"> the proposed second option</w:t>
      </w:r>
      <w:r w:rsidR="001D28CA" w:rsidRPr="000A7271">
        <w:rPr>
          <w:sz w:val="24"/>
          <w:szCs w:val="24"/>
        </w:rPr>
        <w:t xml:space="preserve"> is inconsistent with business realities associated with the timely receipt, processing, </w:t>
      </w:r>
      <w:proofErr w:type="gramStart"/>
      <w:r w:rsidR="001D28CA" w:rsidRPr="000A7271">
        <w:rPr>
          <w:sz w:val="24"/>
          <w:szCs w:val="24"/>
        </w:rPr>
        <w:t>packing</w:t>
      </w:r>
      <w:proofErr w:type="gramEnd"/>
      <w:r w:rsidR="001D28CA" w:rsidRPr="000A7271">
        <w:rPr>
          <w:sz w:val="24"/>
          <w:szCs w:val="24"/>
        </w:rPr>
        <w:t xml:space="preserve"> and </w:t>
      </w:r>
      <w:r w:rsidR="007B140F" w:rsidRPr="000A7271">
        <w:rPr>
          <w:sz w:val="24"/>
          <w:szCs w:val="24"/>
        </w:rPr>
        <w:t>shipping</w:t>
      </w:r>
      <w:r w:rsidR="001D28CA" w:rsidRPr="000A7271">
        <w:rPr>
          <w:sz w:val="24"/>
          <w:szCs w:val="24"/>
        </w:rPr>
        <w:t xml:space="preserve"> of pharmacy orders; due diligence into “each suspicious circumstance” of an order is not realistic</w:t>
      </w:r>
      <w:r w:rsidR="00260925" w:rsidRPr="000A7271">
        <w:rPr>
          <w:sz w:val="24"/>
          <w:szCs w:val="24"/>
        </w:rPr>
        <w:t>, regardless of the time period DEA permits for investigation</w:t>
      </w:r>
      <w:r w:rsidR="001D28CA" w:rsidRPr="000A7271">
        <w:rPr>
          <w:sz w:val="24"/>
          <w:szCs w:val="24"/>
        </w:rPr>
        <w:t xml:space="preserve">.  Third, </w:t>
      </w:r>
      <w:r w:rsidR="00FD4D48" w:rsidRPr="000A7271">
        <w:rPr>
          <w:sz w:val="24"/>
          <w:szCs w:val="24"/>
        </w:rPr>
        <w:t xml:space="preserve">the due diligence </w:t>
      </w:r>
      <w:r w:rsidR="001D28CA" w:rsidRPr="000A7271">
        <w:rPr>
          <w:sz w:val="24"/>
          <w:szCs w:val="24"/>
        </w:rPr>
        <w:t xml:space="preserve">investigation of orders </w:t>
      </w:r>
      <w:r w:rsidR="00260925" w:rsidRPr="000A7271">
        <w:rPr>
          <w:sz w:val="24"/>
          <w:szCs w:val="24"/>
        </w:rPr>
        <w:t>is</w:t>
      </w:r>
      <w:r w:rsidR="001D28CA" w:rsidRPr="000A7271">
        <w:rPr>
          <w:sz w:val="24"/>
          <w:szCs w:val="24"/>
        </w:rPr>
        <w:t xml:space="preserve"> not tethered to objective standards, but rather </w:t>
      </w:r>
      <w:r w:rsidR="00260925" w:rsidRPr="000A7271">
        <w:rPr>
          <w:sz w:val="24"/>
          <w:szCs w:val="24"/>
        </w:rPr>
        <w:t xml:space="preserve">involves inherently murky </w:t>
      </w:r>
      <w:r w:rsidR="00FD4D48" w:rsidRPr="000A7271">
        <w:rPr>
          <w:sz w:val="24"/>
          <w:szCs w:val="24"/>
        </w:rPr>
        <w:t xml:space="preserve">and subjective </w:t>
      </w:r>
      <w:r w:rsidR="00260925" w:rsidRPr="000A7271">
        <w:rPr>
          <w:sz w:val="24"/>
          <w:szCs w:val="24"/>
        </w:rPr>
        <w:t xml:space="preserve">assessments whether a registrant is “likely to engage” in diversion.  </w:t>
      </w:r>
    </w:p>
    <w:p w14:paraId="6C7BBA32" w14:textId="3DCB9EAC" w:rsidR="00C424DB" w:rsidRPr="000A7271" w:rsidRDefault="003E7428" w:rsidP="00B056F4">
      <w:pPr>
        <w:rPr>
          <w:sz w:val="24"/>
          <w:szCs w:val="24"/>
        </w:rPr>
      </w:pPr>
      <w:r w:rsidRPr="000A7271">
        <w:rPr>
          <w:sz w:val="24"/>
          <w:szCs w:val="24"/>
        </w:rPr>
        <w:t>This third reason is perhaps the most significant hurdle to motivate industry change</w:t>
      </w:r>
      <w:r w:rsidR="00FD4D48" w:rsidRPr="000A7271">
        <w:rPr>
          <w:sz w:val="24"/>
          <w:szCs w:val="24"/>
        </w:rPr>
        <w:t xml:space="preserve">.  </w:t>
      </w:r>
      <w:proofErr w:type="gramStart"/>
      <w:r w:rsidR="00FD4D48" w:rsidRPr="000A7271">
        <w:rPr>
          <w:sz w:val="24"/>
          <w:szCs w:val="24"/>
        </w:rPr>
        <w:t xml:space="preserve">In particular, </w:t>
      </w:r>
      <w:r w:rsidR="00E23E86" w:rsidRPr="000A7271">
        <w:rPr>
          <w:sz w:val="24"/>
          <w:szCs w:val="24"/>
        </w:rPr>
        <w:t>registrants</w:t>
      </w:r>
      <w:proofErr w:type="gramEnd"/>
      <w:r w:rsidR="00E23E86" w:rsidRPr="000A7271">
        <w:rPr>
          <w:sz w:val="24"/>
          <w:szCs w:val="24"/>
        </w:rPr>
        <w:t xml:space="preserve"> are</w:t>
      </w:r>
      <w:r w:rsidR="00582ECE" w:rsidRPr="000A7271">
        <w:rPr>
          <w:sz w:val="24"/>
          <w:szCs w:val="24"/>
        </w:rPr>
        <w:t xml:space="preserve"> unlikely to trust that good faith </w:t>
      </w:r>
      <w:r w:rsidR="00E23E86" w:rsidRPr="000A7271">
        <w:rPr>
          <w:sz w:val="24"/>
          <w:szCs w:val="24"/>
        </w:rPr>
        <w:t>efforts to comply</w:t>
      </w:r>
      <w:r w:rsidR="00582ECE" w:rsidRPr="000A7271">
        <w:rPr>
          <w:sz w:val="24"/>
          <w:szCs w:val="24"/>
        </w:rPr>
        <w:t xml:space="preserve"> with the more subjective aspects of the Proposed Rule will not</w:t>
      </w:r>
      <w:r w:rsidR="00E23E86" w:rsidRPr="000A7271">
        <w:rPr>
          <w:sz w:val="24"/>
          <w:szCs w:val="24"/>
        </w:rPr>
        <w:t xml:space="preserve"> be used against them subsequently.  </w:t>
      </w:r>
      <w:r w:rsidR="00260925" w:rsidRPr="000A7271">
        <w:rPr>
          <w:sz w:val="24"/>
          <w:szCs w:val="24"/>
        </w:rPr>
        <w:t xml:space="preserve">A few examples bear note.  In 2008, DEA entered a settlement with McKesson that, in many ways, </w:t>
      </w:r>
      <w:r w:rsidR="00C424DB" w:rsidRPr="000A7271">
        <w:rPr>
          <w:sz w:val="24"/>
          <w:szCs w:val="24"/>
        </w:rPr>
        <w:t>mirrors the Proposed Rule.  Specifically, the McKesson settlement provided that th</w:t>
      </w:r>
      <w:r w:rsidR="005C00D2" w:rsidRPr="000A7271">
        <w:rPr>
          <w:sz w:val="24"/>
          <w:szCs w:val="24"/>
        </w:rPr>
        <w:t xml:space="preserve">e company was not required to report, and could ship, potentially suspicious orders if, “based on a detailed review, the order is for a legitimate purpose and the controlled substances are </w:t>
      </w:r>
      <w:r w:rsidR="005C00D2" w:rsidRPr="000A7271">
        <w:rPr>
          <w:i/>
          <w:iCs/>
          <w:sz w:val="24"/>
          <w:szCs w:val="24"/>
        </w:rPr>
        <w:t>not likely to be diverted</w:t>
      </w:r>
      <w:r w:rsidR="005C00D2" w:rsidRPr="000A7271">
        <w:rPr>
          <w:sz w:val="24"/>
          <w:szCs w:val="24"/>
        </w:rPr>
        <w:t xml:space="preserve"> into other than legitimate medical, scientific, or industrial channels.</w:t>
      </w:r>
      <w:r w:rsidR="000A7271" w:rsidRPr="000A7271">
        <w:rPr>
          <w:sz w:val="24"/>
          <w:szCs w:val="24"/>
        </w:rPr>
        <w:t xml:space="preserve">”  2008 McKesson Settlement, </w:t>
      </w:r>
      <w:r w:rsidR="000A7271" w:rsidRPr="000A7271">
        <w:rPr>
          <w:i/>
          <w:iCs/>
          <w:sz w:val="24"/>
          <w:szCs w:val="24"/>
        </w:rPr>
        <w:t>supra</w:t>
      </w:r>
      <w:r w:rsidR="000A7271" w:rsidRPr="000A7271">
        <w:rPr>
          <w:sz w:val="24"/>
          <w:szCs w:val="24"/>
        </w:rPr>
        <w:t xml:space="preserve">, at II.1.a (emphasis added).  </w:t>
      </w:r>
      <w:r w:rsidRPr="000A7271">
        <w:rPr>
          <w:sz w:val="24"/>
          <w:szCs w:val="24"/>
        </w:rPr>
        <w:t>Th</w:t>
      </w:r>
      <w:r w:rsidR="00F77D1E" w:rsidRPr="000A7271">
        <w:rPr>
          <w:sz w:val="24"/>
          <w:szCs w:val="24"/>
        </w:rPr>
        <w:t>is</w:t>
      </w:r>
      <w:r w:rsidRPr="000A7271">
        <w:rPr>
          <w:sz w:val="24"/>
          <w:szCs w:val="24"/>
        </w:rPr>
        <w:t xml:space="preserve"> language reasonably could be interpreted to require only the reporting of </w:t>
      </w:r>
      <w:r w:rsidR="00FD4D48" w:rsidRPr="000A7271">
        <w:rPr>
          <w:sz w:val="24"/>
          <w:szCs w:val="24"/>
        </w:rPr>
        <w:t xml:space="preserve">orders associated with </w:t>
      </w:r>
      <w:r w:rsidRPr="000A7271">
        <w:rPr>
          <w:sz w:val="24"/>
          <w:szCs w:val="24"/>
        </w:rPr>
        <w:t>diversion to DEA.</w:t>
      </w:r>
      <w:r w:rsidR="005C00D2" w:rsidRPr="000A7271">
        <w:rPr>
          <w:sz w:val="24"/>
          <w:szCs w:val="24"/>
        </w:rPr>
        <w:t xml:space="preserve">  Nonetheless, </w:t>
      </w:r>
      <w:r w:rsidR="00E50498" w:rsidRPr="000A7271">
        <w:rPr>
          <w:sz w:val="24"/>
          <w:szCs w:val="24"/>
        </w:rPr>
        <w:t>years later, McKesson was penalized by DEA for failing</w:t>
      </w:r>
      <w:r w:rsidR="005C00D2" w:rsidRPr="000A7271">
        <w:rPr>
          <w:sz w:val="24"/>
          <w:szCs w:val="24"/>
        </w:rPr>
        <w:t xml:space="preserve"> to report “orders of unusual size, orders deviating substantially from normal patterns, and orders of unusual frequency</w:t>
      </w:r>
      <w:r w:rsidR="00FD4D48" w:rsidRPr="000A7271">
        <w:rPr>
          <w:sz w:val="24"/>
          <w:szCs w:val="24"/>
        </w:rPr>
        <w:t>.</w:t>
      </w:r>
      <w:r w:rsidR="000A7271" w:rsidRPr="000A7271">
        <w:rPr>
          <w:sz w:val="24"/>
          <w:szCs w:val="24"/>
        </w:rPr>
        <w:t xml:space="preserve">”  2017 McKesson Settlement, </w:t>
      </w:r>
      <w:r w:rsidR="000A7271" w:rsidRPr="000A7271">
        <w:rPr>
          <w:i/>
          <w:iCs/>
          <w:sz w:val="24"/>
          <w:szCs w:val="24"/>
        </w:rPr>
        <w:t>supra</w:t>
      </w:r>
      <w:r w:rsidR="000A7271" w:rsidRPr="000A7271">
        <w:rPr>
          <w:sz w:val="24"/>
          <w:szCs w:val="24"/>
        </w:rPr>
        <w:t xml:space="preserve">, at I.3.d.  </w:t>
      </w:r>
      <w:r w:rsidR="00E50498" w:rsidRPr="000A7271">
        <w:rPr>
          <w:sz w:val="24"/>
          <w:szCs w:val="24"/>
        </w:rPr>
        <w:t xml:space="preserve">Furthermore, DEA previously </w:t>
      </w:r>
      <w:r w:rsidRPr="000A7271">
        <w:rPr>
          <w:sz w:val="24"/>
          <w:szCs w:val="24"/>
        </w:rPr>
        <w:t>has</w:t>
      </w:r>
      <w:r w:rsidR="00FD4D48" w:rsidRPr="000A7271">
        <w:rPr>
          <w:sz w:val="24"/>
          <w:szCs w:val="24"/>
        </w:rPr>
        <w:t xml:space="preserve"> used</w:t>
      </w:r>
      <w:r w:rsidR="00E50498" w:rsidRPr="000A7271">
        <w:rPr>
          <w:sz w:val="24"/>
          <w:szCs w:val="24"/>
        </w:rPr>
        <w:t xml:space="preserve"> the cudgel of drug trafficking charges, pursuant to Title 21 of the United State Code, against registrants for </w:t>
      </w:r>
      <w:r w:rsidR="00E321F8" w:rsidRPr="000A7271">
        <w:rPr>
          <w:sz w:val="24"/>
          <w:szCs w:val="24"/>
        </w:rPr>
        <w:t xml:space="preserve">customer-level diversion.  In 2014, FedEx Corporation </w:t>
      </w:r>
      <w:r w:rsidR="00FC47EB" w:rsidRPr="000A7271">
        <w:rPr>
          <w:sz w:val="24"/>
          <w:szCs w:val="24"/>
        </w:rPr>
        <w:t>was</w:t>
      </w:r>
      <w:r w:rsidR="00E321F8" w:rsidRPr="000A7271">
        <w:rPr>
          <w:sz w:val="24"/>
          <w:szCs w:val="24"/>
        </w:rPr>
        <w:t xml:space="preserve"> indicted </w:t>
      </w:r>
      <w:r w:rsidR="00582ECE" w:rsidRPr="000A7271">
        <w:rPr>
          <w:sz w:val="24"/>
          <w:szCs w:val="24"/>
        </w:rPr>
        <w:t xml:space="preserve">by the </w:t>
      </w:r>
      <w:r w:rsidR="00FD4D48" w:rsidRPr="000A7271">
        <w:rPr>
          <w:sz w:val="24"/>
          <w:szCs w:val="24"/>
        </w:rPr>
        <w:t>Department of Justice</w:t>
      </w:r>
      <w:r w:rsidR="00582ECE" w:rsidRPr="000A7271">
        <w:rPr>
          <w:sz w:val="24"/>
          <w:szCs w:val="24"/>
        </w:rPr>
        <w:t xml:space="preserve"> </w:t>
      </w:r>
      <w:r w:rsidR="00E321F8" w:rsidRPr="000A7271">
        <w:rPr>
          <w:sz w:val="24"/>
          <w:szCs w:val="24"/>
        </w:rPr>
        <w:t xml:space="preserve">for </w:t>
      </w:r>
      <w:r w:rsidR="00FD4D48" w:rsidRPr="000A7271">
        <w:rPr>
          <w:sz w:val="24"/>
          <w:szCs w:val="24"/>
        </w:rPr>
        <w:t xml:space="preserve">drug </w:t>
      </w:r>
      <w:r w:rsidR="00FD4D48" w:rsidRPr="000A7271">
        <w:rPr>
          <w:sz w:val="24"/>
          <w:szCs w:val="24"/>
        </w:rPr>
        <w:lastRenderedPageBreak/>
        <w:t>trafficking conspiracy</w:t>
      </w:r>
      <w:r w:rsidR="00E321F8" w:rsidRPr="000A7271">
        <w:rPr>
          <w:sz w:val="24"/>
          <w:szCs w:val="24"/>
        </w:rPr>
        <w:t xml:space="preserve"> </w:t>
      </w:r>
      <w:r w:rsidR="00E23E86" w:rsidRPr="000A7271">
        <w:rPr>
          <w:sz w:val="24"/>
          <w:szCs w:val="24"/>
        </w:rPr>
        <w:t>based on</w:t>
      </w:r>
      <w:r w:rsidR="00E321F8" w:rsidRPr="000A7271">
        <w:rPr>
          <w:sz w:val="24"/>
          <w:szCs w:val="24"/>
        </w:rPr>
        <w:t xml:space="preserve"> FedEx’s role in filling orders from internet pharmacies operating in violation of federal and state laws—despite </w:t>
      </w:r>
      <w:r w:rsidRPr="000A7271">
        <w:rPr>
          <w:sz w:val="24"/>
          <w:szCs w:val="24"/>
        </w:rPr>
        <w:t>FedEx’s</w:t>
      </w:r>
      <w:r w:rsidR="00E321F8" w:rsidRPr="000A7271">
        <w:rPr>
          <w:sz w:val="24"/>
          <w:szCs w:val="24"/>
        </w:rPr>
        <w:t xml:space="preserve"> </w:t>
      </w:r>
      <w:r w:rsidR="00582ECE" w:rsidRPr="000A7271">
        <w:rPr>
          <w:sz w:val="24"/>
          <w:szCs w:val="24"/>
        </w:rPr>
        <w:t>cooperation in DEA investigations</w:t>
      </w:r>
      <w:r w:rsidRPr="000A7271">
        <w:rPr>
          <w:sz w:val="24"/>
          <w:szCs w:val="24"/>
        </w:rPr>
        <w:t xml:space="preserve"> against customers</w:t>
      </w:r>
      <w:r w:rsidR="00582ECE" w:rsidRPr="000A7271">
        <w:rPr>
          <w:sz w:val="24"/>
          <w:szCs w:val="24"/>
        </w:rPr>
        <w:t xml:space="preserve">.  Although the case eventually was dismissed, prosecutors alleged that FedEx had acted “knowingly” to fill orders that were diverted.  </w:t>
      </w:r>
      <w:r w:rsidRPr="000A7271">
        <w:rPr>
          <w:sz w:val="24"/>
          <w:szCs w:val="24"/>
        </w:rPr>
        <w:t>Thus</w:t>
      </w:r>
      <w:r w:rsidR="00E23E86" w:rsidRPr="000A7271">
        <w:rPr>
          <w:sz w:val="24"/>
          <w:szCs w:val="24"/>
        </w:rPr>
        <w:t xml:space="preserve">, registrants likely will not voluntarily embrace a reporting methodology that </w:t>
      </w:r>
      <w:r w:rsidRPr="000A7271">
        <w:rPr>
          <w:sz w:val="24"/>
          <w:szCs w:val="24"/>
        </w:rPr>
        <w:t xml:space="preserve">risks exposing </w:t>
      </w:r>
      <w:r w:rsidR="00E23E86" w:rsidRPr="000A7271">
        <w:rPr>
          <w:sz w:val="24"/>
          <w:szCs w:val="24"/>
        </w:rPr>
        <w:t xml:space="preserve">them to </w:t>
      </w:r>
      <w:r w:rsidRPr="000A7271">
        <w:rPr>
          <w:sz w:val="24"/>
          <w:szCs w:val="24"/>
        </w:rPr>
        <w:t xml:space="preserve">amplified accusations that they </w:t>
      </w:r>
      <w:r w:rsidR="00E23E86" w:rsidRPr="000A7271">
        <w:rPr>
          <w:sz w:val="24"/>
          <w:szCs w:val="24"/>
        </w:rPr>
        <w:t xml:space="preserve">“knowingly” </w:t>
      </w:r>
      <w:r w:rsidR="00FA1B9A" w:rsidRPr="000A7271">
        <w:rPr>
          <w:sz w:val="24"/>
          <w:szCs w:val="24"/>
        </w:rPr>
        <w:t>fostered</w:t>
      </w:r>
      <w:r w:rsidRPr="000A7271">
        <w:rPr>
          <w:sz w:val="24"/>
          <w:szCs w:val="24"/>
        </w:rPr>
        <w:t xml:space="preserve"> diversion.</w:t>
      </w:r>
    </w:p>
    <w:p w14:paraId="15B9A90E" w14:textId="1486E0C3" w:rsidR="003E7428" w:rsidRPr="000A7271" w:rsidRDefault="003E7428" w:rsidP="00B056F4">
      <w:pPr>
        <w:rPr>
          <w:sz w:val="24"/>
          <w:szCs w:val="24"/>
        </w:rPr>
      </w:pPr>
      <w:r w:rsidRPr="000A7271">
        <w:rPr>
          <w:sz w:val="24"/>
          <w:szCs w:val="24"/>
        </w:rPr>
        <w:t xml:space="preserve">In short, </w:t>
      </w:r>
      <w:proofErr w:type="gramStart"/>
      <w:r w:rsidRPr="000A7271">
        <w:rPr>
          <w:sz w:val="24"/>
          <w:szCs w:val="24"/>
        </w:rPr>
        <w:t>DEA’s</w:t>
      </w:r>
      <w:proofErr w:type="gramEnd"/>
      <w:r w:rsidR="00B03A09" w:rsidRPr="000A7271">
        <w:rPr>
          <w:sz w:val="24"/>
          <w:szCs w:val="24"/>
        </w:rPr>
        <w:t xml:space="preserve"> purported second option is unworkable and unrealistic, leaving no viable option for registrants but to continue reporting suspicious orders based on </w:t>
      </w:r>
      <w:r w:rsidR="00D11928" w:rsidRPr="000A7271">
        <w:rPr>
          <w:sz w:val="24"/>
          <w:szCs w:val="24"/>
        </w:rPr>
        <w:t xml:space="preserve">one-off order </w:t>
      </w:r>
      <w:r w:rsidR="00B03A09" w:rsidRPr="000A7271">
        <w:rPr>
          <w:sz w:val="24"/>
          <w:szCs w:val="24"/>
        </w:rPr>
        <w:t>deviations from broader data sets, the vast majority of which are not suggestive of diversion.</w:t>
      </w:r>
      <w:r w:rsidR="00C1085D" w:rsidRPr="000A7271">
        <w:rPr>
          <w:sz w:val="24"/>
          <w:szCs w:val="24"/>
        </w:rPr>
        <w:t xml:space="preserve">  All </w:t>
      </w:r>
      <w:r w:rsidR="0036624E" w:rsidRPr="000A7271">
        <w:rPr>
          <w:sz w:val="24"/>
          <w:szCs w:val="24"/>
        </w:rPr>
        <w:t>parties</w:t>
      </w:r>
      <w:r w:rsidR="00C1085D" w:rsidRPr="000A7271">
        <w:rPr>
          <w:sz w:val="24"/>
          <w:szCs w:val="24"/>
        </w:rPr>
        <w:t xml:space="preserve"> suffer this outcome</w:t>
      </w:r>
      <w:r w:rsidR="007B140F" w:rsidRPr="000A7271">
        <w:rPr>
          <w:sz w:val="24"/>
          <w:szCs w:val="24"/>
        </w:rPr>
        <w:t xml:space="preserve">:  </w:t>
      </w:r>
      <w:r w:rsidR="00C1085D" w:rsidRPr="000A7271">
        <w:rPr>
          <w:sz w:val="24"/>
          <w:szCs w:val="24"/>
        </w:rPr>
        <w:t xml:space="preserve">DEA will continue to be </w:t>
      </w:r>
      <w:r w:rsidR="00FD4D48" w:rsidRPr="000A7271">
        <w:rPr>
          <w:sz w:val="24"/>
          <w:szCs w:val="24"/>
        </w:rPr>
        <w:t>criticized</w:t>
      </w:r>
      <w:r w:rsidR="007B140F" w:rsidRPr="000A7271">
        <w:rPr>
          <w:sz w:val="24"/>
          <w:szCs w:val="24"/>
        </w:rPr>
        <w:t>;</w:t>
      </w:r>
      <w:r w:rsidR="00FD4D48" w:rsidRPr="000A7271">
        <w:rPr>
          <w:sz w:val="24"/>
          <w:szCs w:val="24"/>
        </w:rPr>
        <w:t xml:space="preserve"> registrants will be vilified</w:t>
      </w:r>
      <w:r w:rsidR="007B140F" w:rsidRPr="000A7271">
        <w:rPr>
          <w:sz w:val="24"/>
          <w:szCs w:val="24"/>
        </w:rPr>
        <w:t xml:space="preserve"> unfairly;</w:t>
      </w:r>
      <w:r w:rsidR="00FD4D48" w:rsidRPr="000A7271">
        <w:rPr>
          <w:sz w:val="24"/>
          <w:szCs w:val="24"/>
        </w:rPr>
        <w:t xml:space="preserve"> and the rest of us </w:t>
      </w:r>
      <w:r w:rsidR="0046432C" w:rsidRPr="000A7271">
        <w:rPr>
          <w:sz w:val="24"/>
          <w:szCs w:val="24"/>
        </w:rPr>
        <w:t>will be deprived of an effective public-private partnership in an area that desperately calls for such a solution.</w:t>
      </w:r>
    </w:p>
    <w:p w14:paraId="2C6679EA" w14:textId="6300204C" w:rsidR="00B03A09" w:rsidRPr="000A7271" w:rsidRDefault="0046432C" w:rsidP="00B056F4">
      <w:pPr>
        <w:rPr>
          <w:b/>
          <w:bCs/>
          <w:sz w:val="24"/>
          <w:szCs w:val="24"/>
        </w:rPr>
      </w:pPr>
      <w:r w:rsidRPr="000A7271">
        <w:rPr>
          <w:b/>
          <w:bCs/>
          <w:sz w:val="24"/>
          <w:szCs w:val="24"/>
        </w:rPr>
        <w:t>III.</w:t>
      </w:r>
      <w:r w:rsidRPr="000A7271">
        <w:rPr>
          <w:b/>
          <w:bCs/>
          <w:sz w:val="24"/>
          <w:szCs w:val="24"/>
        </w:rPr>
        <w:tab/>
      </w:r>
      <w:r w:rsidR="007A1830" w:rsidRPr="000A7271">
        <w:rPr>
          <w:b/>
          <w:bCs/>
          <w:sz w:val="24"/>
          <w:szCs w:val="24"/>
        </w:rPr>
        <w:t xml:space="preserve">Fusion Centers Would Unite Stakeholders and Data Sets Towards a </w:t>
      </w:r>
      <w:r w:rsidR="001F4192" w:rsidRPr="000A7271">
        <w:rPr>
          <w:b/>
          <w:bCs/>
          <w:sz w:val="24"/>
          <w:szCs w:val="24"/>
        </w:rPr>
        <w:t>Comprehensive</w:t>
      </w:r>
      <w:r w:rsidR="007A1830" w:rsidRPr="000A7271">
        <w:rPr>
          <w:b/>
          <w:bCs/>
          <w:sz w:val="24"/>
          <w:szCs w:val="24"/>
        </w:rPr>
        <w:t xml:space="preserve"> Solution </w:t>
      </w:r>
    </w:p>
    <w:p w14:paraId="654B925F" w14:textId="419B8611" w:rsidR="00EF03D6" w:rsidRPr="000A7271" w:rsidRDefault="006714C3" w:rsidP="00B056F4">
      <w:pPr>
        <w:rPr>
          <w:sz w:val="24"/>
          <w:szCs w:val="24"/>
        </w:rPr>
      </w:pPr>
      <w:r w:rsidRPr="000A7271">
        <w:rPr>
          <w:sz w:val="24"/>
          <w:szCs w:val="24"/>
        </w:rPr>
        <w:t>The determination whether a registrant is engaged in diversion is extremely nuanced and cannot be made based on ordering data alone.  Accordingly, a</w:t>
      </w:r>
      <w:r w:rsidR="00D11928" w:rsidRPr="000A7271">
        <w:rPr>
          <w:sz w:val="24"/>
          <w:szCs w:val="24"/>
        </w:rPr>
        <w:t xml:space="preserve">lthough DEA </w:t>
      </w:r>
      <w:r w:rsidRPr="000A7271">
        <w:rPr>
          <w:sz w:val="24"/>
          <w:szCs w:val="24"/>
        </w:rPr>
        <w:t xml:space="preserve">recently </w:t>
      </w:r>
      <w:r w:rsidR="00D11928" w:rsidRPr="000A7271">
        <w:rPr>
          <w:sz w:val="24"/>
          <w:szCs w:val="24"/>
        </w:rPr>
        <w:t>capitulated to distributors</w:t>
      </w:r>
      <w:r w:rsidRPr="000A7271">
        <w:rPr>
          <w:sz w:val="24"/>
          <w:szCs w:val="24"/>
        </w:rPr>
        <w:t>’ repeated requests that they be permitted access to</w:t>
      </w:r>
      <w:r w:rsidR="000A7271" w:rsidRPr="000A7271">
        <w:rPr>
          <w:sz w:val="24"/>
          <w:szCs w:val="24"/>
        </w:rPr>
        <w:t xml:space="preserve"> data reported to DEA by manufacturers and distributors reflecting sales of Schedule I and II controlled substances (“ARCOS” data),</w:t>
      </w:r>
      <w:r w:rsidRPr="000A7271">
        <w:rPr>
          <w:sz w:val="24"/>
          <w:szCs w:val="24"/>
        </w:rPr>
        <w:t xml:space="preserve"> critical information remains siloed across government and industry participants.  For example, state prescription drug monitoring programs help to illuminate potential diversion where it occurs most frequently, at the practitioner/patient level.  That </w:t>
      </w:r>
      <w:r w:rsidR="00FA1B9A" w:rsidRPr="000A7271">
        <w:rPr>
          <w:sz w:val="24"/>
          <w:szCs w:val="24"/>
        </w:rPr>
        <w:t xml:space="preserve">state </w:t>
      </w:r>
      <w:r w:rsidRPr="000A7271">
        <w:rPr>
          <w:sz w:val="24"/>
          <w:szCs w:val="24"/>
        </w:rPr>
        <w:t xml:space="preserve">data, however, often is unavailable </w:t>
      </w:r>
      <w:r w:rsidR="00F77D1E" w:rsidRPr="000A7271">
        <w:rPr>
          <w:sz w:val="24"/>
          <w:szCs w:val="24"/>
        </w:rPr>
        <w:t xml:space="preserve">to other investigators, including federal agencies, </w:t>
      </w:r>
      <w:r w:rsidRPr="000A7271">
        <w:rPr>
          <w:sz w:val="24"/>
          <w:szCs w:val="24"/>
        </w:rPr>
        <w:t xml:space="preserve">absent a subpoena, </w:t>
      </w:r>
      <w:r w:rsidR="002B7E5F" w:rsidRPr="000A7271">
        <w:rPr>
          <w:sz w:val="24"/>
          <w:szCs w:val="24"/>
        </w:rPr>
        <w:t>and is not shared with distributors</w:t>
      </w:r>
      <w:r w:rsidR="00FD4D48" w:rsidRPr="000A7271">
        <w:rPr>
          <w:sz w:val="24"/>
          <w:szCs w:val="24"/>
        </w:rPr>
        <w:t xml:space="preserve"> or manufacturers</w:t>
      </w:r>
      <w:r w:rsidRPr="000A7271">
        <w:rPr>
          <w:sz w:val="24"/>
          <w:szCs w:val="24"/>
        </w:rPr>
        <w:t>.  Similarly, DEA</w:t>
      </w:r>
      <w:r w:rsidR="002B7E5F" w:rsidRPr="000A7271">
        <w:rPr>
          <w:sz w:val="24"/>
          <w:szCs w:val="24"/>
        </w:rPr>
        <w:t xml:space="preserve"> </w:t>
      </w:r>
      <w:r w:rsidR="00FA1B9A" w:rsidRPr="000A7271">
        <w:rPr>
          <w:sz w:val="24"/>
          <w:szCs w:val="24"/>
        </w:rPr>
        <w:t>criminal investigators</w:t>
      </w:r>
      <w:r w:rsidR="002B7E5F" w:rsidRPr="000A7271">
        <w:rPr>
          <w:sz w:val="24"/>
          <w:szCs w:val="24"/>
        </w:rPr>
        <w:t xml:space="preserve"> </w:t>
      </w:r>
      <w:r w:rsidR="00F77D1E" w:rsidRPr="000A7271">
        <w:rPr>
          <w:sz w:val="24"/>
          <w:szCs w:val="24"/>
        </w:rPr>
        <w:t>have access to various</w:t>
      </w:r>
      <w:r w:rsidR="002B7E5F" w:rsidRPr="000A7271">
        <w:rPr>
          <w:sz w:val="24"/>
          <w:szCs w:val="24"/>
        </w:rPr>
        <w:t xml:space="preserve"> investigative techniques, including wiretaps and cooperating witnesses, to probe whether diversion is occurring.</w:t>
      </w:r>
      <w:r w:rsidR="00EF03D6" w:rsidRPr="000A7271">
        <w:rPr>
          <w:sz w:val="24"/>
          <w:szCs w:val="24"/>
        </w:rPr>
        <w:t xml:space="preserve">  Further, different distributors possess different data sets, often regarding the same customer.  Finally, manufacturers also </w:t>
      </w:r>
      <w:r w:rsidR="00FD4D48" w:rsidRPr="000A7271">
        <w:rPr>
          <w:sz w:val="24"/>
          <w:szCs w:val="24"/>
        </w:rPr>
        <w:t>possess</w:t>
      </w:r>
      <w:r w:rsidR="00EF03D6" w:rsidRPr="000A7271">
        <w:rPr>
          <w:sz w:val="24"/>
          <w:szCs w:val="24"/>
        </w:rPr>
        <w:t xml:space="preserve"> data regarding the sale of their products to downstream customers, whether that be in the form of chargeback</w:t>
      </w:r>
      <w:r w:rsidR="00FD4D48" w:rsidRPr="000A7271">
        <w:rPr>
          <w:sz w:val="24"/>
          <w:szCs w:val="24"/>
        </w:rPr>
        <w:t>s</w:t>
      </w:r>
      <w:r w:rsidR="00EF03D6" w:rsidRPr="000A7271">
        <w:rPr>
          <w:sz w:val="24"/>
          <w:szCs w:val="24"/>
        </w:rPr>
        <w:t xml:space="preserve"> or marketing analyses.</w:t>
      </w:r>
    </w:p>
    <w:p w14:paraId="609D80BB" w14:textId="37E957B4" w:rsidR="00F435CE" w:rsidRPr="000A7271" w:rsidRDefault="00EF03D6" w:rsidP="00B056F4">
      <w:pPr>
        <w:rPr>
          <w:sz w:val="24"/>
          <w:szCs w:val="24"/>
        </w:rPr>
      </w:pPr>
      <w:r w:rsidRPr="000A7271">
        <w:rPr>
          <w:sz w:val="24"/>
          <w:szCs w:val="24"/>
        </w:rPr>
        <w:t>Where information is dispersed among different constituents, fusion centers have been utilized with great success to target illicit activity, including by</w:t>
      </w:r>
      <w:r w:rsidR="006A3D5C" w:rsidRPr="000A7271">
        <w:rPr>
          <w:sz w:val="24"/>
          <w:szCs w:val="24"/>
        </w:rPr>
        <w:t xml:space="preserve"> the Department of Homeland Security.  DHS describes the centers it operates as “focal points in states and major urban areas for the receipt, analysis, gathering and sharing of threat-related information between State, Local, Tribal and Territorial, federal and private sector partners.</w:t>
      </w:r>
      <w:r w:rsidR="000A7271" w:rsidRPr="000A7271">
        <w:rPr>
          <w:sz w:val="24"/>
          <w:szCs w:val="24"/>
        </w:rPr>
        <w:t xml:space="preserve">”  Department of Homeland Security, </w:t>
      </w:r>
      <w:r w:rsidR="000A7271" w:rsidRPr="000A7271">
        <w:rPr>
          <w:i/>
          <w:iCs/>
          <w:sz w:val="24"/>
          <w:szCs w:val="24"/>
        </w:rPr>
        <w:t>Fusion Centers</w:t>
      </w:r>
      <w:r w:rsidR="000A7271" w:rsidRPr="000A7271">
        <w:rPr>
          <w:sz w:val="24"/>
          <w:szCs w:val="24"/>
        </w:rPr>
        <w:t xml:space="preserve">, </w:t>
      </w:r>
      <w:hyperlink r:id="rId12" w:history="1">
        <w:r w:rsidR="000A7271" w:rsidRPr="000A7271">
          <w:rPr>
            <w:rStyle w:val="Hyperlink"/>
            <w:sz w:val="24"/>
            <w:szCs w:val="24"/>
          </w:rPr>
          <w:t>http://www.dhs.gov/fusion-centers</w:t>
        </w:r>
      </w:hyperlink>
      <w:r w:rsidR="000A7271" w:rsidRPr="000A7271">
        <w:rPr>
          <w:sz w:val="24"/>
          <w:szCs w:val="24"/>
        </w:rPr>
        <w:t xml:space="preserve"> (last visited May 7, 2021).</w:t>
      </w:r>
      <w:r w:rsidR="00FD4D48" w:rsidRPr="000A7271">
        <w:rPr>
          <w:sz w:val="24"/>
          <w:szCs w:val="24"/>
        </w:rPr>
        <w:t xml:space="preserve">  At least on the criminal side, DEA </w:t>
      </w:r>
      <w:r w:rsidR="00086920" w:rsidRPr="000A7271">
        <w:rPr>
          <w:sz w:val="24"/>
          <w:szCs w:val="24"/>
        </w:rPr>
        <w:t xml:space="preserve">also is familiar with such collaboration, and relies on the </w:t>
      </w:r>
      <w:r w:rsidRPr="000A7271">
        <w:rPr>
          <w:sz w:val="24"/>
          <w:szCs w:val="24"/>
        </w:rPr>
        <w:t>Organized Crime Drug Enforcement Task Forces (OCDETF) Program</w:t>
      </w:r>
      <w:r w:rsidR="00F435CE" w:rsidRPr="000A7271">
        <w:rPr>
          <w:sz w:val="24"/>
          <w:szCs w:val="24"/>
        </w:rPr>
        <w:t xml:space="preserve"> to combine federal, </w:t>
      </w:r>
      <w:proofErr w:type="gramStart"/>
      <w:r w:rsidR="00F435CE" w:rsidRPr="000A7271">
        <w:rPr>
          <w:sz w:val="24"/>
          <w:szCs w:val="24"/>
        </w:rPr>
        <w:t>state</w:t>
      </w:r>
      <w:proofErr w:type="gramEnd"/>
      <w:r w:rsidR="00F435CE" w:rsidRPr="000A7271">
        <w:rPr>
          <w:sz w:val="24"/>
          <w:szCs w:val="24"/>
        </w:rPr>
        <w:t xml:space="preserve"> and local law enforcement resources, though private sector partnerships are </w:t>
      </w:r>
      <w:r w:rsidR="00F77D1E" w:rsidRPr="000A7271">
        <w:rPr>
          <w:sz w:val="24"/>
          <w:szCs w:val="24"/>
        </w:rPr>
        <w:t>less common</w:t>
      </w:r>
      <w:r w:rsidR="00F435CE" w:rsidRPr="000A7271">
        <w:rPr>
          <w:sz w:val="24"/>
          <w:szCs w:val="24"/>
        </w:rPr>
        <w:t>.</w:t>
      </w:r>
      <w:r w:rsidR="00FA1B9A" w:rsidRPr="000A7271">
        <w:rPr>
          <w:sz w:val="24"/>
          <w:szCs w:val="24"/>
        </w:rPr>
        <w:t xml:space="preserve">  </w:t>
      </w:r>
      <w:r w:rsidR="00BE3B35" w:rsidRPr="000A7271">
        <w:rPr>
          <w:sz w:val="24"/>
          <w:szCs w:val="24"/>
        </w:rPr>
        <w:t>DEA’s Diversion Control Division, however, already works closely with the private sector, and therefore is well-positioned to cultivate those relationships.</w:t>
      </w:r>
    </w:p>
    <w:p w14:paraId="19E794BC" w14:textId="0DD6640B" w:rsidR="00A26C6A" w:rsidRPr="000A7271" w:rsidRDefault="00E310C0">
      <w:pPr>
        <w:rPr>
          <w:sz w:val="24"/>
          <w:szCs w:val="24"/>
        </w:rPr>
      </w:pPr>
      <w:r w:rsidRPr="000A7271">
        <w:rPr>
          <w:sz w:val="24"/>
          <w:szCs w:val="24"/>
        </w:rPr>
        <w:lastRenderedPageBreak/>
        <w:t xml:space="preserve">Such cooperation between government and private sectors would maximize the </w:t>
      </w:r>
      <w:r w:rsidR="00F77D1E" w:rsidRPr="000A7271">
        <w:rPr>
          <w:sz w:val="24"/>
          <w:szCs w:val="24"/>
        </w:rPr>
        <w:t xml:space="preserve">effectiveness of </w:t>
      </w:r>
      <w:r w:rsidRPr="000A7271">
        <w:rPr>
          <w:sz w:val="24"/>
          <w:szCs w:val="24"/>
        </w:rPr>
        <w:t>data</w:t>
      </w:r>
      <w:r w:rsidR="00F77D1E" w:rsidRPr="000A7271">
        <w:rPr>
          <w:sz w:val="24"/>
          <w:szCs w:val="24"/>
        </w:rPr>
        <w:t xml:space="preserve"> and information</w:t>
      </w:r>
      <w:r w:rsidRPr="000A7271">
        <w:rPr>
          <w:sz w:val="24"/>
          <w:szCs w:val="24"/>
        </w:rPr>
        <w:t xml:space="preserve"> </w:t>
      </w:r>
      <w:r w:rsidR="00F77D1E" w:rsidRPr="000A7271">
        <w:rPr>
          <w:sz w:val="24"/>
          <w:szCs w:val="24"/>
        </w:rPr>
        <w:t xml:space="preserve">located within DEA and </w:t>
      </w:r>
      <w:r w:rsidRPr="000A7271">
        <w:rPr>
          <w:sz w:val="24"/>
          <w:szCs w:val="24"/>
        </w:rPr>
        <w:t>throughout the supply chain</w:t>
      </w:r>
      <w:r w:rsidR="00BF4279" w:rsidRPr="000A7271">
        <w:rPr>
          <w:sz w:val="24"/>
          <w:szCs w:val="24"/>
        </w:rPr>
        <w:t xml:space="preserve">.  </w:t>
      </w:r>
      <w:r w:rsidRPr="000A7271">
        <w:rPr>
          <w:sz w:val="24"/>
          <w:szCs w:val="24"/>
        </w:rPr>
        <w:t>Of course, such an initiative necessarily would</w:t>
      </w:r>
      <w:r w:rsidR="00FA1B9A" w:rsidRPr="000A7271">
        <w:rPr>
          <w:sz w:val="24"/>
          <w:szCs w:val="24"/>
        </w:rPr>
        <w:t xml:space="preserve"> need to</w:t>
      </w:r>
      <w:r w:rsidRPr="000A7271">
        <w:rPr>
          <w:sz w:val="24"/>
          <w:szCs w:val="24"/>
        </w:rPr>
        <w:t xml:space="preserve"> countenance specific protocols, including favorable treatment for self-disclosure</w:t>
      </w:r>
      <w:r w:rsidR="00C83849" w:rsidRPr="000A7271">
        <w:rPr>
          <w:sz w:val="24"/>
          <w:szCs w:val="24"/>
        </w:rPr>
        <w:t>s</w:t>
      </w:r>
      <w:r w:rsidRPr="000A7271">
        <w:rPr>
          <w:sz w:val="24"/>
          <w:szCs w:val="24"/>
        </w:rPr>
        <w:t xml:space="preserve"> and compliance program credit</w:t>
      </w:r>
      <w:r w:rsidR="00C83849" w:rsidRPr="000A7271">
        <w:rPr>
          <w:sz w:val="24"/>
          <w:szCs w:val="24"/>
        </w:rPr>
        <w:t xml:space="preserve">, </w:t>
      </w:r>
      <w:r w:rsidR="00FA1B9A" w:rsidRPr="000A7271">
        <w:rPr>
          <w:sz w:val="24"/>
          <w:szCs w:val="24"/>
        </w:rPr>
        <w:t>that are</w:t>
      </w:r>
      <w:r w:rsidR="00C83849" w:rsidRPr="000A7271">
        <w:rPr>
          <w:sz w:val="24"/>
          <w:szCs w:val="24"/>
        </w:rPr>
        <w:t xml:space="preserve"> routine in similarly Department of Justice programs.  In short</w:t>
      </w:r>
      <w:r w:rsidR="00CA4C5C" w:rsidRPr="000A7271">
        <w:rPr>
          <w:sz w:val="24"/>
          <w:szCs w:val="24"/>
        </w:rPr>
        <w:t xml:space="preserve">, the climate and opportunity at hand would permit DEA to levitate its focus </w:t>
      </w:r>
      <w:r w:rsidR="00FA1B9A" w:rsidRPr="000A7271">
        <w:rPr>
          <w:sz w:val="24"/>
          <w:szCs w:val="24"/>
        </w:rPr>
        <w:t>from</w:t>
      </w:r>
      <w:r w:rsidR="00CA4C5C" w:rsidRPr="000A7271">
        <w:rPr>
          <w:sz w:val="24"/>
          <w:szCs w:val="24"/>
        </w:rPr>
        <w:t xml:space="preserve"> individual orders to a broader industry coalition.  Instead, the Proposed Rule simply appends </w:t>
      </w:r>
      <w:r w:rsidR="00447C05" w:rsidRPr="000A7271">
        <w:rPr>
          <w:sz w:val="24"/>
          <w:szCs w:val="24"/>
        </w:rPr>
        <w:t xml:space="preserve">a doomed alternative onto the existing infirm reporting scheme.  </w:t>
      </w:r>
      <w:r w:rsidR="00C83849" w:rsidRPr="000A7271">
        <w:rPr>
          <w:sz w:val="24"/>
          <w:szCs w:val="24"/>
        </w:rPr>
        <w:t>DEA</w:t>
      </w:r>
      <w:r w:rsidR="00447C05" w:rsidRPr="000A7271">
        <w:rPr>
          <w:sz w:val="24"/>
          <w:szCs w:val="24"/>
        </w:rPr>
        <w:t xml:space="preserve"> is led by some of the most dedicated and committed public servants in the country; </w:t>
      </w:r>
      <w:r w:rsidR="00693BF7" w:rsidRPr="000A7271">
        <w:rPr>
          <w:sz w:val="24"/>
          <w:szCs w:val="24"/>
        </w:rPr>
        <w:t>its</w:t>
      </w:r>
      <w:r w:rsidR="00447C05" w:rsidRPr="000A7271">
        <w:rPr>
          <w:sz w:val="24"/>
          <w:szCs w:val="24"/>
        </w:rPr>
        <w:t xml:space="preserve"> Diversion Control Division</w:t>
      </w:r>
      <w:r w:rsidR="00C83849" w:rsidRPr="000A7271">
        <w:rPr>
          <w:sz w:val="24"/>
          <w:szCs w:val="24"/>
        </w:rPr>
        <w:t xml:space="preserve"> </w:t>
      </w:r>
      <w:r w:rsidR="00693BF7" w:rsidRPr="000A7271">
        <w:rPr>
          <w:sz w:val="24"/>
          <w:szCs w:val="24"/>
        </w:rPr>
        <w:t>can and should do better.</w:t>
      </w:r>
    </w:p>
    <w:p w14:paraId="05A84C79" w14:textId="2FF75401" w:rsidR="000A7271" w:rsidRPr="000A7271" w:rsidRDefault="000A7271">
      <w:pPr>
        <w:rPr>
          <w:sz w:val="24"/>
          <w:szCs w:val="24"/>
        </w:rPr>
      </w:pPr>
      <w:r w:rsidRPr="000A7271">
        <w:rPr>
          <w:sz w:val="24"/>
          <w:szCs w:val="24"/>
        </w:rPr>
        <w:t>__________________________</w:t>
      </w:r>
    </w:p>
    <w:p w14:paraId="3C1D222E" w14:textId="49DA8A71" w:rsidR="001F4192" w:rsidRPr="000A7271" w:rsidRDefault="001F4192">
      <w:pPr>
        <w:rPr>
          <w:sz w:val="24"/>
          <w:szCs w:val="24"/>
        </w:rPr>
      </w:pPr>
      <w:r w:rsidRPr="000A7271">
        <w:rPr>
          <w:sz w:val="24"/>
          <w:szCs w:val="24"/>
        </w:rPr>
        <w:t xml:space="preserve">* Anthony J. Mahajan formerly served as Chief Counsel to McKesson Corp., where he was responsible for providing legal advice to the business regarding compliance with suspicious order reporting requirements and McKesson’s 2017 settlement with the Department of Justice and DEA regarding controlled substances.  </w:t>
      </w:r>
      <w:r w:rsidR="007F5F4E" w:rsidRPr="000A7271">
        <w:rPr>
          <w:sz w:val="24"/>
          <w:szCs w:val="24"/>
        </w:rPr>
        <w:t xml:space="preserve">He previously was employed as an Assistant U.S. Attorney for the U.S. Department of Justice, </w:t>
      </w:r>
      <w:r w:rsidRPr="000A7271">
        <w:rPr>
          <w:sz w:val="24"/>
          <w:szCs w:val="24"/>
        </w:rPr>
        <w:t xml:space="preserve">where he investigated and prosecuted controlled substance offenses against manufacturers, distributors, </w:t>
      </w:r>
      <w:proofErr w:type="gramStart"/>
      <w:r w:rsidRPr="000A7271">
        <w:rPr>
          <w:sz w:val="24"/>
          <w:szCs w:val="24"/>
        </w:rPr>
        <w:t>pharmacies</w:t>
      </w:r>
      <w:proofErr w:type="gramEnd"/>
      <w:r w:rsidRPr="000A7271">
        <w:rPr>
          <w:sz w:val="24"/>
          <w:szCs w:val="24"/>
        </w:rPr>
        <w:t xml:space="preserve"> and health care professionals.  Mr. Mahajan currently serves as Chair of Frier Levitt’s </w:t>
      </w:r>
      <w:proofErr w:type="gramStart"/>
      <w:r w:rsidRPr="000A7271">
        <w:rPr>
          <w:sz w:val="24"/>
          <w:szCs w:val="24"/>
        </w:rPr>
        <w:t>White Collar</w:t>
      </w:r>
      <w:proofErr w:type="gramEnd"/>
      <w:r w:rsidRPr="000A7271">
        <w:rPr>
          <w:sz w:val="24"/>
          <w:szCs w:val="24"/>
        </w:rPr>
        <w:t xml:space="preserve"> Defense &amp; Government Investigations practice.</w:t>
      </w:r>
    </w:p>
    <w:sectPr w:rsidR="001F4192" w:rsidRPr="000A7271" w:rsidSect="000A7271">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E9AE" w14:textId="77777777" w:rsidR="00910D1C" w:rsidRDefault="00910D1C" w:rsidP="00B20941">
      <w:pPr>
        <w:spacing w:after="0" w:line="240" w:lineRule="auto"/>
      </w:pPr>
      <w:r>
        <w:separator/>
      </w:r>
    </w:p>
  </w:endnote>
  <w:endnote w:type="continuationSeparator" w:id="0">
    <w:p w14:paraId="3541022F" w14:textId="77777777" w:rsidR="00910D1C" w:rsidRDefault="00910D1C" w:rsidP="00B2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91566"/>
      <w:docPartObj>
        <w:docPartGallery w:val="Page Numbers (Bottom of Page)"/>
        <w:docPartUnique/>
      </w:docPartObj>
    </w:sdtPr>
    <w:sdtEndPr>
      <w:rPr>
        <w:noProof/>
      </w:rPr>
    </w:sdtEndPr>
    <w:sdtContent>
      <w:p w14:paraId="0D251FEA" w14:textId="70E42BD3" w:rsidR="000A7271" w:rsidRDefault="000A72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26B61" w14:textId="77777777" w:rsidR="000A7271" w:rsidRDefault="000A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4A1E" w14:textId="77777777" w:rsidR="00910D1C" w:rsidRDefault="00910D1C" w:rsidP="00B20941">
      <w:pPr>
        <w:spacing w:after="0" w:line="240" w:lineRule="auto"/>
      </w:pPr>
      <w:r>
        <w:separator/>
      </w:r>
    </w:p>
  </w:footnote>
  <w:footnote w:type="continuationSeparator" w:id="0">
    <w:p w14:paraId="5D54E04A" w14:textId="77777777" w:rsidR="00910D1C" w:rsidRDefault="00910D1C" w:rsidP="00B20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7D62" w14:textId="01636E39" w:rsidR="00363E5F" w:rsidRDefault="00363E5F" w:rsidP="00363E5F">
    <w:pPr>
      <w:pStyle w:val="NormalWeb"/>
      <w:spacing w:before="0" w:beforeAutospacing="0" w:after="0" w:afterAutospacing="0"/>
      <w:jc w:val="center"/>
      <w:rPr>
        <w:rFonts w:ascii="Arial" w:hAnsi="Arial" w:cs="Arial"/>
        <w:color w:val="000000"/>
        <w:sz w:val="24"/>
        <w:szCs w:val="24"/>
      </w:rPr>
    </w:pPr>
    <w:r>
      <w:rPr>
        <w:rFonts w:ascii="Arial" w:hAnsi="Arial" w:cs="Arial"/>
        <w:color w:val="000000"/>
        <w:sz w:val="24"/>
        <w:szCs w:val="24"/>
      </w:rPr>
      <w:t xml:space="preserve">Reprinted with permission from the </w:t>
    </w:r>
    <w:r>
      <w:rPr>
        <w:rFonts w:ascii="Arial" w:hAnsi="Arial" w:cs="Arial"/>
        <w:color w:val="000000"/>
        <w:sz w:val="24"/>
        <w:szCs w:val="24"/>
      </w:rPr>
      <w:t>May 14, 2021</w:t>
    </w:r>
    <w:r>
      <w:rPr>
        <w:rFonts w:ascii="Arial" w:hAnsi="Arial" w:cs="Arial"/>
        <w:color w:val="000000"/>
        <w:sz w:val="24"/>
        <w:szCs w:val="24"/>
      </w:rPr>
      <w:t xml:space="preserve"> issue of the New Jersey Law Journal. Further duplication without permission is prohibited. All rights reserved. © 2021 ALM Media Properties, LLC.</w:t>
    </w:r>
  </w:p>
  <w:p w14:paraId="776A33E2" w14:textId="77777777" w:rsidR="00363E5F" w:rsidRDefault="0036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79BE"/>
    <w:multiLevelType w:val="hybridMultilevel"/>
    <w:tmpl w:val="677A52AA"/>
    <w:lvl w:ilvl="0" w:tplc="B7304A20">
      <w:start w:val="4"/>
      <w:numFmt w:val="decimal"/>
      <w:lvlText w:val="%1."/>
      <w:lvlJc w:val="left"/>
      <w:pPr>
        <w:tabs>
          <w:tab w:val="num" w:pos="720"/>
        </w:tabs>
        <w:ind w:left="720" w:hanging="360"/>
      </w:pPr>
    </w:lvl>
    <w:lvl w:ilvl="1" w:tplc="2480C03C" w:tentative="1">
      <w:start w:val="1"/>
      <w:numFmt w:val="decimal"/>
      <w:lvlText w:val="%2."/>
      <w:lvlJc w:val="left"/>
      <w:pPr>
        <w:tabs>
          <w:tab w:val="num" w:pos="1440"/>
        </w:tabs>
        <w:ind w:left="1440" w:hanging="360"/>
      </w:pPr>
    </w:lvl>
    <w:lvl w:ilvl="2" w:tplc="4C105C9E" w:tentative="1">
      <w:start w:val="1"/>
      <w:numFmt w:val="decimal"/>
      <w:lvlText w:val="%3."/>
      <w:lvlJc w:val="left"/>
      <w:pPr>
        <w:tabs>
          <w:tab w:val="num" w:pos="2160"/>
        </w:tabs>
        <w:ind w:left="2160" w:hanging="360"/>
      </w:pPr>
    </w:lvl>
    <w:lvl w:ilvl="3" w:tplc="A06E370A" w:tentative="1">
      <w:start w:val="1"/>
      <w:numFmt w:val="decimal"/>
      <w:lvlText w:val="%4."/>
      <w:lvlJc w:val="left"/>
      <w:pPr>
        <w:tabs>
          <w:tab w:val="num" w:pos="2880"/>
        </w:tabs>
        <w:ind w:left="2880" w:hanging="360"/>
      </w:pPr>
    </w:lvl>
    <w:lvl w:ilvl="4" w:tplc="E1200E1C" w:tentative="1">
      <w:start w:val="1"/>
      <w:numFmt w:val="decimal"/>
      <w:lvlText w:val="%5."/>
      <w:lvlJc w:val="left"/>
      <w:pPr>
        <w:tabs>
          <w:tab w:val="num" w:pos="3600"/>
        </w:tabs>
        <w:ind w:left="3600" w:hanging="360"/>
      </w:pPr>
    </w:lvl>
    <w:lvl w:ilvl="5" w:tplc="AF249B86" w:tentative="1">
      <w:start w:val="1"/>
      <w:numFmt w:val="decimal"/>
      <w:lvlText w:val="%6."/>
      <w:lvlJc w:val="left"/>
      <w:pPr>
        <w:tabs>
          <w:tab w:val="num" w:pos="4320"/>
        </w:tabs>
        <w:ind w:left="4320" w:hanging="360"/>
      </w:pPr>
    </w:lvl>
    <w:lvl w:ilvl="6" w:tplc="FDB0DBDA" w:tentative="1">
      <w:start w:val="1"/>
      <w:numFmt w:val="decimal"/>
      <w:lvlText w:val="%7."/>
      <w:lvlJc w:val="left"/>
      <w:pPr>
        <w:tabs>
          <w:tab w:val="num" w:pos="5040"/>
        </w:tabs>
        <w:ind w:left="5040" w:hanging="360"/>
      </w:pPr>
    </w:lvl>
    <w:lvl w:ilvl="7" w:tplc="E31EB878" w:tentative="1">
      <w:start w:val="1"/>
      <w:numFmt w:val="decimal"/>
      <w:lvlText w:val="%8."/>
      <w:lvlJc w:val="left"/>
      <w:pPr>
        <w:tabs>
          <w:tab w:val="num" w:pos="5760"/>
        </w:tabs>
        <w:ind w:left="5760" w:hanging="360"/>
      </w:pPr>
    </w:lvl>
    <w:lvl w:ilvl="8" w:tplc="566A7C5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6A"/>
    <w:rsid w:val="0002586A"/>
    <w:rsid w:val="00086920"/>
    <w:rsid w:val="000968C4"/>
    <w:rsid w:val="000A7271"/>
    <w:rsid w:val="00106D52"/>
    <w:rsid w:val="0012724C"/>
    <w:rsid w:val="00131814"/>
    <w:rsid w:val="00145CD8"/>
    <w:rsid w:val="001D28CA"/>
    <w:rsid w:val="001F4192"/>
    <w:rsid w:val="00260925"/>
    <w:rsid w:val="002B7E5F"/>
    <w:rsid w:val="002D2206"/>
    <w:rsid w:val="00313988"/>
    <w:rsid w:val="00363E5F"/>
    <w:rsid w:val="0036624E"/>
    <w:rsid w:val="003C4641"/>
    <w:rsid w:val="003C7353"/>
    <w:rsid w:val="003D4398"/>
    <w:rsid w:val="003E7428"/>
    <w:rsid w:val="00447C05"/>
    <w:rsid w:val="0046432C"/>
    <w:rsid w:val="00470C77"/>
    <w:rsid w:val="00471258"/>
    <w:rsid w:val="004C070E"/>
    <w:rsid w:val="004C6E68"/>
    <w:rsid w:val="004C7B32"/>
    <w:rsid w:val="005743F2"/>
    <w:rsid w:val="00582ECE"/>
    <w:rsid w:val="005C00D2"/>
    <w:rsid w:val="006714C3"/>
    <w:rsid w:val="00693BF7"/>
    <w:rsid w:val="006A3D5C"/>
    <w:rsid w:val="006E614C"/>
    <w:rsid w:val="006F750E"/>
    <w:rsid w:val="0070120A"/>
    <w:rsid w:val="00732E65"/>
    <w:rsid w:val="00793131"/>
    <w:rsid w:val="0079535F"/>
    <w:rsid w:val="007A1830"/>
    <w:rsid w:val="007A29BA"/>
    <w:rsid w:val="007B140F"/>
    <w:rsid w:val="007D7082"/>
    <w:rsid w:val="007F5F4E"/>
    <w:rsid w:val="00826077"/>
    <w:rsid w:val="00831F50"/>
    <w:rsid w:val="00845C9B"/>
    <w:rsid w:val="00877A83"/>
    <w:rsid w:val="0089671E"/>
    <w:rsid w:val="008C185B"/>
    <w:rsid w:val="008F1DA2"/>
    <w:rsid w:val="00910D1C"/>
    <w:rsid w:val="009255DA"/>
    <w:rsid w:val="0093170D"/>
    <w:rsid w:val="00955936"/>
    <w:rsid w:val="009564B8"/>
    <w:rsid w:val="00963D21"/>
    <w:rsid w:val="00A07383"/>
    <w:rsid w:val="00A26C6A"/>
    <w:rsid w:val="00A46C4F"/>
    <w:rsid w:val="00AE62AA"/>
    <w:rsid w:val="00B03A09"/>
    <w:rsid w:val="00B056F4"/>
    <w:rsid w:val="00B20941"/>
    <w:rsid w:val="00B2373F"/>
    <w:rsid w:val="00B57BF1"/>
    <w:rsid w:val="00B8281D"/>
    <w:rsid w:val="00BB2684"/>
    <w:rsid w:val="00BE3B35"/>
    <w:rsid w:val="00BF4279"/>
    <w:rsid w:val="00C1085D"/>
    <w:rsid w:val="00C40FF4"/>
    <w:rsid w:val="00C424DB"/>
    <w:rsid w:val="00C64349"/>
    <w:rsid w:val="00C7562D"/>
    <w:rsid w:val="00C83849"/>
    <w:rsid w:val="00CA4C5C"/>
    <w:rsid w:val="00CC01CD"/>
    <w:rsid w:val="00CE2CE3"/>
    <w:rsid w:val="00CE34C0"/>
    <w:rsid w:val="00D11928"/>
    <w:rsid w:val="00D26A41"/>
    <w:rsid w:val="00D83AF6"/>
    <w:rsid w:val="00D92188"/>
    <w:rsid w:val="00E11550"/>
    <w:rsid w:val="00E23E86"/>
    <w:rsid w:val="00E310C0"/>
    <w:rsid w:val="00E321F8"/>
    <w:rsid w:val="00E50498"/>
    <w:rsid w:val="00E507D7"/>
    <w:rsid w:val="00E57CC8"/>
    <w:rsid w:val="00EB4BF0"/>
    <w:rsid w:val="00ED502A"/>
    <w:rsid w:val="00EF03D6"/>
    <w:rsid w:val="00EF242B"/>
    <w:rsid w:val="00F01AC7"/>
    <w:rsid w:val="00F34DC4"/>
    <w:rsid w:val="00F435CE"/>
    <w:rsid w:val="00F531BD"/>
    <w:rsid w:val="00F653B3"/>
    <w:rsid w:val="00F77D1E"/>
    <w:rsid w:val="00F8169A"/>
    <w:rsid w:val="00F83E4D"/>
    <w:rsid w:val="00F84DF6"/>
    <w:rsid w:val="00F90970"/>
    <w:rsid w:val="00FA1B9A"/>
    <w:rsid w:val="00FA1CA8"/>
    <w:rsid w:val="00FA2BCE"/>
    <w:rsid w:val="00FC47EB"/>
    <w:rsid w:val="00FC7E55"/>
    <w:rsid w:val="00FD4D48"/>
    <w:rsid w:val="00FD59D7"/>
    <w:rsid w:val="00FE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795C"/>
  <w15:chartTrackingRefBased/>
  <w15:docId w15:val="{9C9E00ED-8D94-43F0-96BA-7E0B8BC7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D52"/>
    <w:pPr>
      <w:ind w:left="720"/>
      <w:contextualSpacing/>
    </w:pPr>
  </w:style>
  <w:style w:type="paragraph" w:styleId="EndnoteText">
    <w:name w:val="endnote text"/>
    <w:basedOn w:val="Normal"/>
    <w:link w:val="EndnoteTextChar"/>
    <w:uiPriority w:val="99"/>
    <w:semiHidden/>
    <w:unhideWhenUsed/>
    <w:rsid w:val="00B209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941"/>
    <w:rPr>
      <w:sz w:val="20"/>
      <w:szCs w:val="20"/>
    </w:rPr>
  </w:style>
  <w:style w:type="character" w:styleId="EndnoteReference">
    <w:name w:val="endnote reference"/>
    <w:basedOn w:val="DefaultParagraphFont"/>
    <w:uiPriority w:val="99"/>
    <w:semiHidden/>
    <w:unhideWhenUsed/>
    <w:rsid w:val="00B20941"/>
    <w:rPr>
      <w:vertAlign w:val="superscript"/>
    </w:rPr>
  </w:style>
  <w:style w:type="character" w:styleId="Hyperlink">
    <w:name w:val="Hyperlink"/>
    <w:basedOn w:val="DefaultParagraphFont"/>
    <w:uiPriority w:val="99"/>
    <w:unhideWhenUsed/>
    <w:rsid w:val="002D2206"/>
    <w:rPr>
      <w:color w:val="0563C1" w:themeColor="hyperlink"/>
      <w:u w:val="single"/>
    </w:rPr>
  </w:style>
  <w:style w:type="character" w:styleId="UnresolvedMention">
    <w:name w:val="Unresolved Mention"/>
    <w:basedOn w:val="DefaultParagraphFont"/>
    <w:uiPriority w:val="99"/>
    <w:semiHidden/>
    <w:unhideWhenUsed/>
    <w:rsid w:val="002D2206"/>
    <w:rPr>
      <w:color w:val="605E5C"/>
      <w:shd w:val="clear" w:color="auto" w:fill="E1DFDD"/>
    </w:rPr>
  </w:style>
  <w:style w:type="paragraph" w:styleId="Header">
    <w:name w:val="header"/>
    <w:basedOn w:val="Normal"/>
    <w:link w:val="HeaderChar"/>
    <w:uiPriority w:val="99"/>
    <w:unhideWhenUsed/>
    <w:rsid w:val="000A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271"/>
  </w:style>
  <w:style w:type="paragraph" w:styleId="Footer">
    <w:name w:val="footer"/>
    <w:basedOn w:val="Normal"/>
    <w:link w:val="FooterChar"/>
    <w:uiPriority w:val="99"/>
    <w:unhideWhenUsed/>
    <w:rsid w:val="000A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71"/>
  </w:style>
  <w:style w:type="paragraph" w:styleId="NormalWeb">
    <w:name w:val="Normal (Web)"/>
    <w:basedOn w:val="Normal"/>
    <w:uiPriority w:val="99"/>
    <w:semiHidden/>
    <w:unhideWhenUsed/>
    <w:rsid w:val="00363E5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4318">
      <w:bodyDiv w:val="1"/>
      <w:marLeft w:val="0"/>
      <w:marRight w:val="0"/>
      <w:marTop w:val="0"/>
      <w:marBottom w:val="0"/>
      <w:divBdr>
        <w:top w:val="none" w:sz="0" w:space="0" w:color="auto"/>
        <w:left w:val="none" w:sz="0" w:space="0" w:color="auto"/>
        <w:bottom w:val="none" w:sz="0" w:space="0" w:color="auto"/>
        <w:right w:val="none" w:sz="0" w:space="0" w:color="auto"/>
      </w:divBdr>
    </w:div>
    <w:div w:id="1323463126">
      <w:bodyDiv w:val="1"/>
      <w:marLeft w:val="0"/>
      <w:marRight w:val="0"/>
      <w:marTop w:val="0"/>
      <w:marBottom w:val="0"/>
      <w:divBdr>
        <w:top w:val="none" w:sz="0" w:space="0" w:color="auto"/>
        <w:left w:val="none" w:sz="0" w:space="0" w:color="auto"/>
        <w:bottom w:val="none" w:sz="0" w:space="0" w:color="auto"/>
        <w:right w:val="none" w:sz="0" w:space="0" w:color="auto"/>
      </w:divBdr>
      <w:divsChild>
        <w:div w:id="118759378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ketbird.com/court-documents/In-re-National-Prescription-Opiate-Litigation/Exhibit-C-Dec-27-2007-DEA-Letter/ohnd-1:2017-md-02804-02207-0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gov/fusion-cent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ublicans-energycommerce.house.gov/wp-content/uploads/2018/12/Opioid-Distribution-Report-FinalREV.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stice.gov/opa/press-release/file/928476/download" TargetMode="External"/><Relationship Id="rId4" Type="http://schemas.openxmlformats.org/officeDocument/2006/relationships/settings" Target="settings.xml"/><Relationship Id="rId9" Type="http://schemas.openxmlformats.org/officeDocument/2006/relationships/hyperlink" Target="https://www.dea.gov/sites/default/files/2018-06/Pharmaceutical%20Agreements%20-%20McKesson%20-%202008_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DD62-A78C-4368-9FB3-8223751B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2292</Words>
  <Characters>13065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Mahajan</dc:creator>
  <cp:keywords/>
  <dc:description/>
  <cp:lastModifiedBy>Lauren Lynch</cp:lastModifiedBy>
  <cp:revision>2</cp:revision>
  <cp:lastPrinted>2021-05-07T14:30:00Z</cp:lastPrinted>
  <dcterms:created xsi:type="dcterms:W3CDTF">2021-06-03T17:13:00Z</dcterms:created>
  <dcterms:modified xsi:type="dcterms:W3CDTF">2021-06-03T17:13:00Z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5/7/2021 9:49:50 AM</vt:lpwstr>
  </property>
  <property fmtid="{D5CDD505-2E9C-101B-9397-08002B2CF9AE}" pid="3" name="CBWordSessionId">
    <vt:lpwstr>95c08170-185a-4182-a755-8a1b6c6b6588</vt:lpwstr>
  </property>
</Properties>
</file>